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17BEC" w:rsidRPr="006E51E6" w:rsidRDefault="0065210E">
      <w:r>
        <w:rPr>
          <w:noProof/>
        </w:rPr>
        <mc:AlternateContent>
          <mc:Choice Requires="wps">
            <w:drawing>
              <wp:anchor distT="0" distB="0" distL="114300" distR="114300" simplePos="0" relativeHeight="251661312" behindDoc="0" locked="0" layoutInCell="1" allowOverlap="1" wp14:anchorId="1FB3C825">
                <wp:simplePos x="0" y="0"/>
                <wp:positionH relativeFrom="column">
                  <wp:posOffset>-452120</wp:posOffset>
                </wp:positionH>
                <wp:positionV relativeFrom="paragraph">
                  <wp:posOffset>338455</wp:posOffset>
                </wp:positionV>
                <wp:extent cx="7048500" cy="1362075"/>
                <wp:effectExtent l="0" t="0" r="0" b="0"/>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048500" cy="1362075"/>
                        </a:xfrm>
                        <a:prstGeom prst="rect">
                          <a:avLst/>
                        </a:prstGeom>
                        <a:solidFill>
                          <a:schemeClr val="tx1">
                            <a:lumMod val="50000"/>
                            <a:lumOff val="50000"/>
                            <a:alpha val="10001"/>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052CC" w:rsidRPr="003C4368" w:rsidRDefault="001052CC" w:rsidP="00B65597">
                            <w:pPr>
                              <w:spacing w:before="240" w:after="0" w:line="240" w:lineRule="auto"/>
                              <w:jc w:val="center"/>
                              <w:rPr>
                                <w:rFonts w:ascii="Meiryo UI" w:eastAsia="Meiryo UI" w:hAnsi="Meiryo UI" w:cs="Meiryo UI"/>
                                <w:color w:val="FFFFFF" w:themeColor="background1"/>
                                <w:sz w:val="56"/>
                                <w:lang w:val="en-GB"/>
                              </w:rPr>
                            </w:pPr>
                            <w:r w:rsidRPr="003C4368">
                              <w:rPr>
                                <w:rFonts w:ascii="Meiryo UI" w:eastAsia="Meiryo UI" w:hAnsi="Meiryo UI" w:cs="Meiryo UI"/>
                                <w:color w:val="FFFFFF" w:themeColor="background1"/>
                                <w:sz w:val="56"/>
                                <w:lang w:val="en-GB"/>
                              </w:rPr>
                              <w:t>GPP Training toolkit</w:t>
                            </w:r>
                          </w:p>
                          <w:p w:rsidR="001052CC" w:rsidRPr="003C4368" w:rsidRDefault="001052CC" w:rsidP="00B65597">
                            <w:pPr>
                              <w:jc w:val="center"/>
                              <w:rPr>
                                <w:sz w:val="56"/>
                                <w:szCs w:val="56"/>
                                <w:lang w:val="en-GB"/>
                              </w:rPr>
                            </w:pPr>
                            <w:r w:rsidRPr="003C4368">
                              <w:rPr>
                                <w:rFonts w:ascii="Meiryo UI" w:eastAsia="Meiryo UI" w:hAnsi="Meiryo UI" w:cs="Meiryo UI"/>
                                <w:color w:val="FFFFFF" w:themeColor="background1"/>
                                <w:sz w:val="56"/>
                                <w:szCs w:val="56"/>
                                <w:lang w:val="en-GB"/>
                              </w:rPr>
                              <w:t>Module 6: Market Engagement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FB3C825" id="_x0000_t202" coordsize="21600,21600" o:spt="202" path="m,l,21600r21600,l21600,xe">
                <v:stroke joinstyle="miter"/>
                <v:path gradientshapeok="t" o:connecttype="rect"/>
              </v:shapetype>
              <v:shape id="Text Box 3" o:spid="_x0000_s1026" type="#_x0000_t202" style="position:absolute;margin-left:-35.6pt;margin-top:26.65pt;width:555pt;height:10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" fillcolor="#a4a4a2 [1629]" stroked="f">
                <v:fill opacity="6682f"/>
                <v:path arrowok="t"/>
                <v:textbox>
                  <w:txbxContent>
                    <w:p w:rsidR="001052CC" w:rsidRPr="003C4368" w:rsidRDefault="001052CC" w:rsidP="00B65597">
                      <w:pPr>
                        <w:spacing w:before="240" w:after="0" w:line="240" w:lineRule="auto"/>
                        <w:jc w:val="center"/>
                        <w:rPr>
                          <w:rFonts w:ascii="Meiryo UI" w:eastAsia="Meiryo UI" w:hAnsi="Meiryo UI" w:cs="Meiryo UI"/>
                          <w:color w:val="FFFFFF" w:themeColor="background1"/>
                          <w:sz w:val="56"/>
                          <w:lang w:val="en-GB"/>
                        </w:rPr>
                      </w:pPr>
                      <w:r w:rsidRPr="003C4368">
                        <w:rPr>
                          <w:rFonts w:ascii="Meiryo UI" w:eastAsia="Meiryo UI" w:hAnsi="Meiryo UI" w:cs="Meiryo UI"/>
                          <w:color w:val="FFFFFF" w:themeColor="background1"/>
                          <w:sz w:val="56"/>
                          <w:lang w:val="en-GB"/>
                        </w:rPr>
                        <w:t>GPP Training toolkit</w:t>
                      </w:r>
                    </w:p>
                    <w:p w:rsidR="001052CC" w:rsidRPr="003C4368" w:rsidRDefault="001052CC" w:rsidP="00B65597">
                      <w:pPr>
                        <w:jc w:val="center"/>
                        <w:rPr>
                          <w:sz w:val="56"/>
                          <w:szCs w:val="56"/>
                          <w:lang w:val="en-GB"/>
                        </w:rPr>
                      </w:pPr>
                      <w:r w:rsidRPr="003C4368">
                        <w:rPr>
                          <w:rFonts w:ascii="Meiryo UI" w:eastAsia="Meiryo UI" w:hAnsi="Meiryo UI" w:cs="Meiryo UI"/>
                          <w:color w:val="FFFFFF" w:themeColor="background1"/>
                          <w:sz w:val="56"/>
                          <w:szCs w:val="56"/>
                          <w:lang w:val="en-GB"/>
                        </w:rPr>
                        <w:t>Module 6: Market Engagement</w:t>
                      </w:r>
                    </w:p>
                  </w:txbxContent>
                </v:textbox>
              </v:shape>
            </w:pict>
          </mc:Fallback>
        </mc:AlternateContent>
      </w:r>
      <w:r w:rsidR="004E75D8" w:rsidRPr="006E51E6">
        <w:rPr>
          <w:noProof/>
        </w:rPr>
        <w:drawing>
          <wp:anchor distT="0" distB="0" distL="114300" distR="114300" simplePos="0" relativeHeight="251663360" behindDoc="0" locked="0" layoutInCell="1" allowOverlap="1">
            <wp:simplePos x="0" y="0"/>
            <wp:positionH relativeFrom="column">
              <wp:posOffset>2080260</wp:posOffset>
            </wp:positionH>
            <wp:positionV relativeFrom="paragraph">
              <wp:posOffset>-626745</wp:posOffset>
            </wp:positionV>
            <wp:extent cx="1659255" cy="1160145"/>
            <wp:effectExtent l="19050" t="0" r="0" b="0"/>
            <wp:wrapNone/>
            <wp:docPr id="3" name="Picture 2" descr="I:\A-Sustainable Economy and Procurement\Projects\GPP training and training materials - 24220\1 - GPP Toolkit\Design templates\path138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A-Sustainable Economy and Procurement\Projects\GPP training and training materials - 24220\1 - GPP Toolkit\Design templates\path13856.png"/>
                    <pic:cNvPicPr>
                      <a:picLocks noChangeAspect="1" noChangeArrowheads="1"/>
                    </pic:cNvPicPr>
                  </pic:nvPicPr>
                  <pic:blipFill>
                    <a:blip r:embed="rId8" cstate="print"/>
                    <a:srcRect/>
                    <a:stretch>
                      <a:fillRect/>
                    </a:stretch>
                  </pic:blipFill>
                  <pic:spPr bwMode="auto">
                    <a:xfrm>
                      <a:off x="0" y="0"/>
                      <a:ext cx="1659255" cy="1160145"/>
                    </a:xfrm>
                    <a:prstGeom prst="rect">
                      <a:avLst/>
                    </a:prstGeom>
                    <a:noFill/>
                    <a:ln w="9525">
                      <a:noFill/>
                      <a:miter lim="800000"/>
                      <a:headEnd/>
                      <a:tailEnd/>
                    </a:ln>
                  </pic:spPr>
                </pic:pic>
              </a:graphicData>
            </a:graphic>
          </wp:anchor>
        </w:drawing>
      </w:r>
      <w:r w:rsidR="00D17BEC" w:rsidRPr="006E51E6">
        <w:rPr>
          <w:noProof/>
        </w:rPr>
        <w:drawing>
          <wp:anchor distT="0" distB="0" distL="114300" distR="114300" simplePos="0" relativeHeight="251658240" behindDoc="0" locked="0" layoutInCell="1" allowOverlap="1">
            <wp:simplePos x="0" y="0"/>
            <wp:positionH relativeFrom="margin">
              <wp:posOffset>-908050</wp:posOffset>
            </wp:positionH>
            <wp:positionV relativeFrom="margin">
              <wp:posOffset>224790</wp:posOffset>
            </wp:positionV>
            <wp:extent cx="7635875" cy="1586230"/>
            <wp:effectExtent l="19050" t="19050" r="22225" b="13970"/>
            <wp:wrapSquare wrapText="bothSides"/>
            <wp:docPr id="1" name="Picture 1" descr="test.png"/>
            <wp:cNvGraphicFramePr/>
            <a:graphic xmlns:a="http://schemas.openxmlformats.org/drawingml/2006/main">
              <a:graphicData uri="http://schemas.openxmlformats.org/drawingml/2006/picture">
                <pic:pic xmlns:pic="http://schemas.openxmlformats.org/drawingml/2006/picture">
                  <pic:nvPicPr>
                    <pic:cNvPr id="8" name="Picture 7" descr="test.png"/>
                    <pic:cNvPicPr>
                      <a:picLocks noChangeAspect="1"/>
                    </pic:cNvPicPr>
                  </pic:nvPicPr>
                  <pic:blipFill>
                    <a:blip r:embed="rId9" cstate="print">
                      <a:lum contrast="10000"/>
                    </a:blip>
                    <a:srcRect t="47755"/>
                    <a:stretch>
                      <a:fillRect/>
                    </a:stretch>
                  </pic:blipFill>
                  <pic:spPr>
                    <a:xfrm>
                      <a:off x="0" y="0"/>
                      <a:ext cx="7635875" cy="1586230"/>
                    </a:xfrm>
                    <a:prstGeom prst="rect">
                      <a:avLst/>
                    </a:prstGeom>
                    <a:ln w="19050">
                      <a:solidFill>
                        <a:schemeClr val="bg1"/>
                      </a:solidFill>
                    </a:ln>
                  </pic:spPr>
                </pic:pic>
              </a:graphicData>
            </a:graphic>
          </wp:anchor>
        </w:drawing>
      </w:r>
    </w:p>
    <w:tbl>
      <w:tblPr>
        <w:tblStyle w:val="TableGrid"/>
        <w:tblW w:w="0" w:type="auto"/>
        <w:tblLook w:val="04A0" w:firstRow="1" w:lastRow="0" w:firstColumn="1" w:lastColumn="0" w:noHBand="0" w:noVBand="1"/>
      </w:tblPr>
      <w:tblGrid>
        <w:gridCol w:w="9072"/>
      </w:tblGrid>
      <w:tr w:rsidR="002628E9" w:rsidRPr="001052CC" w:rsidTr="001052CC">
        <w:tc>
          <w:tcPr>
            <w:tcW w:w="9212" w:type="dxa"/>
            <w:tcBorders>
              <w:top w:val="single" w:sz="4" w:space="0" w:color="auto"/>
              <w:left w:val="nil"/>
              <w:bottom w:val="single" w:sz="4" w:space="0" w:color="auto"/>
              <w:right w:val="nil"/>
            </w:tcBorders>
            <w:shd w:val="clear" w:color="auto" w:fill="F2F2F2" w:themeFill="background1" w:themeFillShade="F2"/>
          </w:tcPr>
          <w:p w:rsidR="002628E9" w:rsidRPr="002628E9" w:rsidRDefault="002628E9" w:rsidP="002318A4">
            <w:pPr>
              <w:pStyle w:val="B-Headline01"/>
              <w:jc w:val="center"/>
            </w:pPr>
            <w:r w:rsidRPr="002628E9">
              <w:t>-- Participants’ Handout --</w:t>
            </w:r>
          </w:p>
          <w:p w:rsidR="002628E9" w:rsidRPr="00A25976" w:rsidRDefault="002628E9" w:rsidP="001052CC">
            <w:pPr>
              <w:spacing w:line="276" w:lineRule="auto"/>
              <w:ind w:left="142" w:right="210"/>
              <w:jc w:val="center"/>
              <w:rPr>
                <w:lang w:val="en-GB"/>
              </w:rPr>
            </w:pPr>
            <w:r w:rsidRPr="00BE386D">
              <w:rPr>
                <w:lang w:val="en-GB"/>
              </w:rPr>
              <w:t>This document is designed to accompany Module 6 of the European Commission’s Green Public Procurement (GPP) Training Toolkit</w:t>
            </w:r>
            <w:r w:rsidR="00BE386D" w:rsidRPr="00BE386D">
              <w:rPr>
                <w:lang w:val="en-GB"/>
              </w:rPr>
              <w:t xml:space="preserve"> on </w:t>
            </w:r>
            <w:r w:rsidR="00BE386D">
              <w:rPr>
                <w:b/>
                <w:i/>
                <w:color w:val="008A88" w:themeColor="text2"/>
                <w:lang w:val="en-GB"/>
              </w:rPr>
              <w:t>Market Engagement</w:t>
            </w:r>
            <w:r w:rsidRPr="00BE386D">
              <w:rPr>
                <w:lang w:val="en-GB"/>
              </w:rPr>
              <w:t>.</w:t>
            </w:r>
            <w:r w:rsidR="00A25976">
              <w:rPr>
                <w:lang w:val="en-GB"/>
              </w:rPr>
              <w:t xml:space="preserve"> </w:t>
            </w:r>
            <w:r w:rsidR="00A25976" w:rsidRPr="00A25976">
              <w:rPr>
                <w:lang w:val="en-GB"/>
              </w:rPr>
              <w:t xml:space="preserve">It provides additional notes, references and examples to the information presented in the Module. </w:t>
            </w:r>
            <w:r w:rsidRPr="00A25976">
              <w:rPr>
                <w:lang w:val="en-GB"/>
              </w:rPr>
              <w:t>The complete toolkit can be found on the European Commission’s GPP website:</w:t>
            </w:r>
          </w:p>
          <w:p w:rsidR="002628E9" w:rsidRPr="003C4368" w:rsidRDefault="003C2BBF" w:rsidP="001052CC">
            <w:pPr>
              <w:spacing w:before="240" w:after="240"/>
              <w:ind w:left="142" w:right="207"/>
              <w:jc w:val="center"/>
              <w:rPr>
                <w:lang w:val="en-GB"/>
              </w:rPr>
            </w:pPr>
            <w:hyperlink r:id="rId10" w:history="1">
              <w:r w:rsidR="002628E9" w:rsidRPr="003C4368">
                <w:rPr>
                  <w:rStyle w:val="Hyperlink"/>
                  <w:lang w:val="en-GB"/>
                </w:rPr>
                <w:t>http://ec.europa.eu/environment/gpp/index_en.htm</w:t>
              </w:r>
            </w:hyperlink>
          </w:p>
        </w:tc>
      </w:tr>
    </w:tbl>
    <w:p w:rsidR="001C027E" w:rsidRPr="003C4368" w:rsidRDefault="001C027E" w:rsidP="001C027E">
      <w:pPr>
        <w:rPr>
          <w:lang w:val="en-GB"/>
        </w:rPr>
      </w:pPr>
      <w:r w:rsidRPr="003C4368">
        <w:rPr>
          <w:lang w:val="en-GB"/>
        </w:rPr>
        <w:t xml:space="preserve"> </w:t>
      </w:r>
    </w:p>
    <w:p w:rsidR="00B627E3" w:rsidRDefault="003C4368" w:rsidP="002318A4">
      <w:pPr>
        <w:pStyle w:val="B-Headline01"/>
      </w:pPr>
      <w:r>
        <w:t>Legal framework for market engagement</w:t>
      </w:r>
    </w:p>
    <w:p w:rsidR="00292F97" w:rsidRPr="003C4368" w:rsidRDefault="00292F97" w:rsidP="001C027E">
      <w:pPr>
        <w:pStyle w:val="Heading3"/>
        <w:rPr>
          <w:lang w:val="en-GB"/>
        </w:rPr>
      </w:pPr>
      <w:r w:rsidRPr="003C4368">
        <w:rPr>
          <w:lang w:val="en-GB"/>
        </w:rPr>
        <w:t xml:space="preserve">Q: </w:t>
      </w:r>
      <w:r w:rsidR="00DC56F7" w:rsidRPr="003C4368">
        <w:rPr>
          <w:lang w:val="en-GB"/>
        </w:rPr>
        <w:t>When can market engagement be carried out?</w:t>
      </w:r>
    </w:p>
    <w:p w:rsidR="00292F97" w:rsidRPr="003C4368" w:rsidRDefault="00292F97" w:rsidP="00B627E3">
      <w:pPr>
        <w:rPr>
          <w:lang w:val="en-GB"/>
        </w:rPr>
      </w:pPr>
      <w:r w:rsidRPr="003C4368">
        <w:rPr>
          <w:b/>
          <w:lang w:val="en-GB"/>
        </w:rPr>
        <w:t xml:space="preserve">A: </w:t>
      </w:r>
      <w:r w:rsidRPr="003C4368">
        <w:rPr>
          <w:lang w:val="en-GB"/>
        </w:rPr>
        <w:t xml:space="preserve">Market engagement may take place before, during and after a formal tender procedure. Prior to tendering, it is typically used to identify potential suppliers and relevant product/services, and to give suppliers an opportunity to prepare for the tender, for example by forming partnerships. During a tender, the contracting authority may meet with bidders– particularly in </w:t>
      </w:r>
      <w:r w:rsidR="002E64A1" w:rsidRPr="003C4368">
        <w:rPr>
          <w:lang w:val="en-GB"/>
        </w:rPr>
        <w:t>the competitive dialogue or competitive procedure with negotiation. Following a tender, debriefing may be offered to bidders.</w:t>
      </w:r>
    </w:p>
    <w:p w:rsidR="002E64A1" w:rsidRPr="003C4368" w:rsidRDefault="00DC56F7" w:rsidP="001C027E">
      <w:pPr>
        <w:pStyle w:val="Heading3"/>
        <w:rPr>
          <w:lang w:val="en-GB"/>
        </w:rPr>
      </w:pPr>
      <w:r w:rsidRPr="003C4368">
        <w:rPr>
          <w:lang w:val="en-GB"/>
        </w:rPr>
        <w:t>Q</w:t>
      </w:r>
      <w:r w:rsidR="002E64A1" w:rsidRPr="003C4368">
        <w:rPr>
          <w:lang w:val="en-GB"/>
        </w:rPr>
        <w:t xml:space="preserve">: </w:t>
      </w:r>
      <w:r w:rsidRPr="003C4368">
        <w:rPr>
          <w:lang w:val="en-GB"/>
        </w:rPr>
        <w:t>Who should be involved in market engagement?</w:t>
      </w:r>
    </w:p>
    <w:p w:rsidR="002E64A1" w:rsidRPr="003C4368" w:rsidRDefault="00DC56F7" w:rsidP="00B627E3">
      <w:pPr>
        <w:rPr>
          <w:lang w:val="en-GB"/>
        </w:rPr>
      </w:pPr>
      <w:r w:rsidRPr="003C4368">
        <w:rPr>
          <w:b/>
          <w:lang w:val="en-GB"/>
        </w:rPr>
        <w:t>A:</w:t>
      </w:r>
      <w:r w:rsidR="002E64A1" w:rsidRPr="003C4368">
        <w:rPr>
          <w:lang w:val="en-GB"/>
        </w:rPr>
        <w:t xml:space="preserve"> On the contracting authority side, market engagement should involve procurement staff and</w:t>
      </w:r>
      <w:r w:rsidR="00017FD8" w:rsidRPr="003C4368">
        <w:rPr>
          <w:lang w:val="en-GB"/>
        </w:rPr>
        <w:t>, where relevant</w:t>
      </w:r>
      <w:r w:rsidR="002E64A1" w:rsidRPr="003C4368">
        <w:rPr>
          <w:lang w:val="en-GB"/>
        </w:rPr>
        <w:t xml:space="preserve"> end users. </w:t>
      </w:r>
      <w:r w:rsidR="00017FD8" w:rsidRPr="003C4368">
        <w:rPr>
          <w:lang w:val="en-GB"/>
        </w:rPr>
        <w:t xml:space="preserve">For GPP, it may also be advisable to involve environmental/sustainability staff. </w:t>
      </w:r>
      <w:r w:rsidR="002E64A1" w:rsidRPr="003C4368">
        <w:rPr>
          <w:lang w:val="en-GB"/>
        </w:rPr>
        <w:t xml:space="preserve">Suppliers should be encouraged to involve those staff who will actually be involved in delivering the contract, not just marketing or sales people. It is not normally required to involve lawyers. </w:t>
      </w:r>
    </w:p>
    <w:p w:rsidR="00A76CDF" w:rsidRPr="003C4368" w:rsidRDefault="00DC56F7" w:rsidP="001C027E">
      <w:pPr>
        <w:pStyle w:val="Heading3"/>
        <w:rPr>
          <w:lang w:val="en-GB"/>
        </w:rPr>
      </w:pPr>
      <w:r w:rsidRPr="003C4368">
        <w:rPr>
          <w:lang w:val="en-GB"/>
        </w:rPr>
        <w:t>Q: Can we contact only certain suppliers during market engagement?</w:t>
      </w:r>
    </w:p>
    <w:p w:rsidR="00A76CDF" w:rsidRPr="003C4368" w:rsidRDefault="00DC56F7" w:rsidP="00B627E3">
      <w:pPr>
        <w:rPr>
          <w:lang w:val="en-GB"/>
        </w:rPr>
      </w:pPr>
      <w:r w:rsidRPr="003C4368">
        <w:rPr>
          <w:b/>
          <w:lang w:val="en-GB"/>
        </w:rPr>
        <w:t>A:</w:t>
      </w:r>
      <w:r w:rsidR="00A76CDF" w:rsidRPr="003C4368">
        <w:rPr>
          <w:lang w:val="en-GB"/>
        </w:rPr>
        <w:t xml:space="preserve"> Where market engagement is carried out prior to a formal tender, it is permissible to only contact certain suppliers. However, you have to avoid any unfair advantage to these suppliers in the subsequent tender, meaning that all information provided by the contracting authority during the market engagement should be made available with the procurement documents. </w:t>
      </w:r>
      <w:r w:rsidR="00017FD8" w:rsidRPr="003C4368">
        <w:rPr>
          <w:lang w:val="en-GB"/>
        </w:rPr>
        <w:t xml:space="preserve">Alternatively, a PIN can be used to inform the wider market about the engagement. </w:t>
      </w:r>
    </w:p>
    <w:p w:rsidR="00A76CDF" w:rsidRPr="003C4368" w:rsidRDefault="00DC56F7" w:rsidP="001C027E">
      <w:pPr>
        <w:pStyle w:val="Heading3"/>
        <w:rPr>
          <w:lang w:val="en-GB"/>
        </w:rPr>
      </w:pPr>
      <w:r w:rsidRPr="003C4368">
        <w:rPr>
          <w:lang w:val="en-GB"/>
        </w:rPr>
        <w:t>Q: Can we meet with suppliers individually or consult them by phone?</w:t>
      </w:r>
    </w:p>
    <w:p w:rsidR="00A76CDF" w:rsidRPr="003C4368" w:rsidRDefault="00A76CDF" w:rsidP="00B627E3">
      <w:pPr>
        <w:rPr>
          <w:lang w:val="en-GB"/>
        </w:rPr>
      </w:pPr>
      <w:r w:rsidRPr="003C4368">
        <w:rPr>
          <w:lang w:val="en-GB"/>
        </w:rPr>
        <w:lastRenderedPageBreak/>
        <w:t xml:space="preserve">A: Individual meetings or phone calls may be held with suppliers. Where this is done, notes must be kept regarding the content of conversations. </w:t>
      </w:r>
      <w:r w:rsidR="000C6676" w:rsidRPr="003C4368">
        <w:rPr>
          <w:lang w:val="en-GB"/>
        </w:rPr>
        <w:t xml:space="preserve">To ensure equal treatment, the same amount of time should be allowed for each supplier, and the information provided by the contracting authority must be the same. </w:t>
      </w:r>
    </w:p>
    <w:p w:rsidR="000C6676" w:rsidRPr="003C4368" w:rsidRDefault="00DC56F7" w:rsidP="001C027E">
      <w:pPr>
        <w:pStyle w:val="Heading3"/>
        <w:rPr>
          <w:lang w:val="en-GB"/>
        </w:rPr>
      </w:pPr>
      <w:r w:rsidRPr="003C4368">
        <w:rPr>
          <w:lang w:val="en-GB"/>
        </w:rPr>
        <w:t>Q: Can we have a group information session?</w:t>
      </w:r>
    </w:p>
    <w:p w:rsidR="000C6676" w:rsidRPr="003C4368" w:rsidRDefault="000C6676" w:rsidP="00B627E3">
      <w:pPr>
        <w:rPr>
          <w:lang w:val="en-GB"/>
        </w:rPr>
      </w:pPr>
      <w:r w:rsidRPr="003C4368">
        <w:rPr>
          <w:b/>
          <w:lang w:val="en-GB"/>
        </w:rPr>
        <w:t xml:space="preserve">A: </w:t>
      </w:r>
      <w:r w:rsidRPr="003C4368">
        <w:rPr>
          <w:lang w:val="en-GB"/>
        </w:rPr>
        <w:t>Group information sessions can be an efficient way to organise market engagement, and can also help suppliers to form partnerships or consortia where this is necessary to respond to GPP requirements. However</w:t>
      </w:r>
      <w:r w:rsidR="001052CC">
        <w:rPr>
          <w:lang w:val="en-GB"/>
        </w:rPr>
        <w:t>,</w:t>
      </w:r>
      <w:r w:rsidRPr="003C4368">
        <w:rPr>
          <w:lang w:val="en-GB"/>
        </w:rPr>
        <w:t xml:space="preserve"> they also create some risk of collusion or other restraints of competition. Suppliers should be asked to confirm as part of the tender that they have priced their bids independently and have not entered into any anti-competitive agreements with other suppliers. </w:t>
      </w:r>
    </w:p>
    <w:p w:rsidR="00292F97" w:rsidRPr="003C4368" w:rsidRDefault="00292F97" w:rsidP="00B627E3">
      <w:pPr>
        <w:rPr>
          <w:lang w:val="en-GB"/>
        </w:rPr>
      </w:pPr>
    </w:p>
    <w:p w:rsidR="002A1517" w:rsidRPr="007B0ACD" w:rsidRDefault="000B5F2D" w:rsidP="002318A4">
      <w:pPr>
        <w:pStyle w:val="B-Headline01"/>
        <w:rPr>
          <w:lang w:val="en-GB"/>
        </w:rPr>
      </w:pPr>
      <w:r>
        <w:rPr>
          <w:lang w:val="en-GB"/>
        </w:rPr>
        <w:t xml:space="preserve">How to engage the market - </w:t>
      </w:r>
      <w:r w:rsidR="00501FEA" w:rsidRPr="007B0ACD">
        <w:rPr>
          <w:lang w:val="en-GB"/>
        </w:rPr>
        <w:t>Examples of market engagement in action</w:t>
      </w:r>
    </w:p>
    <w:tbl>
      <w:tblPr>
        <w:tblStyle w:val="LightList-Accent5"/>
        <w:tblW w:w="0" w:type="auto"/>
        <w:tblBorders>
          <w:insideH w:val="single" w:sz="4" w:space="0" w:color="FFFFFF" w:themeColor="background1"/>
          <w:insideV w:val="single" w:sz="4" w:space="0" w:color="FFFFFF" w:themeColor="background1"/>
        </w:tblBorders>
        <w:tblLook w:val="04A0" w:firstRow="1" w:lastRow="0" w:firstColumn="1" w:lastColumn="0" w:noHBand="0" w:noVBand="1"/>
      </w:tblPr>
      <w:tblGrid>
        <w:gridCol w:w="9039"/>
      </w:tblGrid>
      <w:tr w:rsidR="006E51E6" w:rsidRPr="006E51E6" w:rsidTr="007B0AC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39" w:type="dxa"/>
            <w:tcBorders>
              <w:bottom w:val="single" w:sz="4" w:space="0" w:color="FFFFFF" w:themeColor="background1"/>
            </w:tcBorders>
            <w:shd w:val="clear" w:color="auto" w:fill="9BB51B" w:themeFill="accent2"/>
          </w:tcPr>
          <w:p w:rsidR="006E51E6" w:rsidRPr="006E51E6" w:rsidRDefault="006E51E6" w:rsidP="006E51E6">
            <w:r w:rsidRPr="006E51E6">
              <w:t>Examples of market engagement</w:t>
            </w:r>
          </w:p>
        </w:tc>
      </w:tr>
      <w:tr w:rsidR="006E51E6" w:rsidRPr="006E51E6" w:rsidTr="007B0A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39" w:type="dxa"/>
            <w:tcBorders>
              <w:top w:val="single" w:sz="4" w:space="0" w:color="FFFFFF" w:themeColor="background1"/>
              <w:bottom w:val="single" w:sz="4" w:space="0" w:color="31859B" w:themeColor="accent5"/>
              <w:right w:val="single" w:sz="4" w:space="0" w:color="31859B" w:themeColor="accent5"/>
            </w:tcBorders>
            <w:shd w:val="clear" w:color="auto" w:fill="F2F2F2" w:themeFill="background1" w:themeFillShade="F2"/>
          </w:tcPr>
          <w:p w:rsidR="006E51E6" w:rsidRPr="003C4368" w:rsidRDefault="006E51E6" w:rsidP="006E51E6">
            <w:pPr>
              <w:rPr>
                <w:lang w:val="en-GB"/>
              </w:rPr>
            </w:pPr>
            <w:r w:rsidRPr="003C4368">
              <w:rPr>
                <w:lang w:val="en-GB"/>
              </w:rPr>
              <w:t>Advertising your intentions in the UK</w:t>
            </w:r>
            <w:r w:rsidRPr="003C4368">
              <w:rPr>
                <w:lang w:val="en-GB"/>
              </w:rPr>
              <w:tab/>
            </w:r>
          </w:p>
          <w:p w:rsidR="006E51E6" w:rsidRPr="006E51E6" w:rsidRDefault="006E51E6" w:rsidP="006E51E6">
            <w:r w:rsidRPr="003C4368">
              <w:rPr>
                <w:b w:val="0"/>
                <w:lang w:val="en-GB"/>
              </w:rPr>
              <w:t xml:space="preserve">Eastern Shires Purchasing Organisation (ESPO) undertook a market engagement process for LED lighting. In order to gauge interest in a lighting project and to provide the project team with an understanding of the supply market of LED lighting technology, they placed a series of notices of their plans and published a PIN. Companies that responded were invited to tender, and took part in a supplier open day. Early market engagement provided a better knowledge for the procurement team of what is available on the market. This has helped them to quickly acquire a solution with reduced procurement timescales. </w:t>
            </w:r>
            <w:hyperlink r:id="rId11" w:history="1">
              <w:r w:rsidRPr="00E43202">
                <w:rPr>
                  <w:rStyle w:val="Hyperlink"/>
                  <w:b w:val="0"/>
                  <w:bCs w:val="0"/>
                </w:rPr>
                <w:t>Read the full case study</w:t>
              </w:r>
            </w:hyperlink>
            <w:r w:rsidRPr="006E51E6">
              <w:rPr>
                <w:b w:val="0"/>
              </w:rPr>
              <w:t>.</w:t>
            </w:r>
          </w:p>
        </w:tc>
      </w:tr>
      <w:tr w:rsidR="006E51E6" w:rsidRPr="006E51E6" w:rsidTr="007B0ACD">
        <w:tc>
          <w:tcPr>
            <w:cnfStyle w:val="001000000000" w:firstRow="0" w:lastRow="0" w:firstColumn="1" w:lastColumn="0" w:oddVBand="0" w:evenVBand="0" w:oddHBand="0" w:evenHBand="0" w:firstRowFirstColumn="0" w:firstRowLastColumn="0" w:lastRowFirstColumn="0" w:lastRowLastColumn="0"/>
            <w:tcW w:w="9039" w:type="dxa"/>
            <w:tcBorders>
              <w:top w:val="single" w:sz="4" w:space="0" w:color="31859B" w:themeColor="accent5"/>
              <w:bottom w:val="single" w:sz="4" w:space="0" w:color="31859B" w:themeColor="accent5"/>
              <w:right w:val="single" w:sz="4" w:space="0" w:color="31859B" w:themeColor="accent5"/>
            </w:tcBorders>
            <w:shd w:val="clear" w:color="auto" w:fill="F2F2F2" w:themeFill="background1" w:themeFillShade="F2"/>
          </w:tcPr>
          <w:p w:rsidR="00E43202" w:rsidRPr="003C4368" w:rsidRDefault="00E43202" w:rsidP="00E43202">
            <w:pPr>
              <w:rPr>
                <w:lang w:val="en-GB"/>
              </w:rPr>
            </w:pPr>
            <w:r w:rsidRPr="003C4368">
              <w:rPr>
                <w:lang w:val="en-GB"/>
              </w:rPr>
              <w:t>Informing the market: supplier/buyers seminar in Portugal</w:t>
            </w:r>
            <w:r w:rsidRPr="003C4368">
              <w:rPr>
                <w:lang w:val="en-GB"/>
              </w:rPr>
              <w:tab/>
            </w:r>
          </w:p>
          <w:p w:rsidR="00E43202" w:rsidRPr="003C4368" w:rsidRDefault="00E43202" w:rsidP="00E43202">
            <w:pPr>
              <w:rPr>
                <w:b w:val="0"/>
                <w:lang w:val="en-GB"/>
              </w:rPr>
            </w:pPr>
            <w:r w:rsidRPr="003C4368">
              <w:rPr>
                <w:b w:val="0"/>
                <w:lang w:val="en-GB"/>
              </w:rPr>
              <w:t xml:space="preserve">In order to bring together suppliers and buyers, The Municipal Council of Cascais, the Cascais Energy Agency and the National Laboratory for Energy and Geology (LNEG) organised an energy efficient lighting seminar. The focus was on LED technology for public lighting, with an the  to: </w:t>
            </w:r>
          </w:p>
          <w:p w:rsidR="00E43202" w:rsidRPr="003C4368" w:rsidRDefault="00E43202" w:rsidP="00E43202">
            <w:pPr>
              <w:pStyle w:val="ListParagraph"/>
              <w:numPr>
                <w:ilvl w:val="0"/>
                <w:numId w:val="18"/>
              </w:numPr>
              <w:rPr>
                <w:b w:val="0"/>
                <w:lang w:val="en-GB"/>
              </w:rPr>
            </w:pPr>
            <w:r w:rsidRPr="003C4368">
              <w:rPr>
                <w:b w:val="0"/>
                <w:lang w:val="en-GB"/>
              </w:rPr>
              <w:t xml:space="preserve">convey to potential suppliers information on purchasing intentions and the generic initial requirements; and </w:t>
            </w:r>
          </w:p>
          <w:p w:rsidR="00E43202" w:rsidRPr="003C4368" w:rsidRDefault="00E43202" w:rsidP="00E43202">
            <w:pPr>
              <w:pStyle w:val="ListParagraph"/>
              <w:numPr>
                <w:ilvl w:val="0"/>
                <w:numId w:val="18"/>
              </w:numPr>
              <w:rPr>
                <w:b w:val="0"/>
                <w:lang w:val="en-GB"/>
              </w:rPr>
            </w:pPr>
            <w:r w:rsidRPr="003C4368">
              <w:rPr>
                <w:b w:val="0"/>
                <w:lang w:val="en-GB"/>
              </w:rPr>
              <w:t xml:space="preserve">increase buyer knowledge on energy-efficient lighting and LED public lighting through the various suppliers presenting their products, followed by a moderated debate. </w:t>
            </w:r>
          </w:p>
          <w:p w:rsidR="006E51E6" w:rsidRPr="00E43202" w:rsidRDefault="00E43202" w:rsidP="00E43202">
            <w:pPr>
              <w:rPr>
                <w:b w:val="0"/>
              </w:rPr>
            </w:pPr>
            <w:r w:rsidRPr="003C4368">
              <w:rPr>
                <w:b w:val="0"/>
                <w:lang w:val="en-GB"/>
              </w:rPr>
              <w:t xml:space="preserve">The suppliers also displayed their products. </w:t>
            </w:r>
            <w:hyperlink r:id="rId12" w:history="1">
              <w:r w:rsidRPr="00E43202">
                <w:rPr>
                  <w:rStyle w:val="Hyperlink"/>
                  <w:b w:val="0"/>
                  <w:bCs w:val="0"/>
                </w:rPr>
                <w:t>Read the full case study</w:t>
              </w:r>
            </w:hyperlink>
            <w:r w:rsidRPr="00E43202">
              <w:rPr>
                <w:b w:val="0"/>
              </w:rPr>
              <w:t>.</w:t>
            </w:r>
          </w:p>
        </w:tc>
      </w:tr>
      <w:tr w:rsidR="006E51E6" w:rsidRPr="006E51E6" w:rsidTr="007B0A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39" w:type="dxa"/>
            <w:tcBorders>
              <w:top w:val="single" w:sz="4" w:space="0" w:color="31859B" w:themeColor="accent5"/>
              <w:bottom w:val="single" w:sz="4" w:space="0" w:color="31859B" w:themeColor="accent5"/>
              <w:right w:val="single" w:sz="4" w:space="0" w:color="31859B" w:themeColor="accent5"/>
            </w:tcBorders>
            <w:shd w:val="clear" w:color="auto" w:fill="F2F2F2" w:themeFill="background1" w:themeFillShade="F2"/>
          </w:tcPr>
          <w:p w:rsidR="00E43202" w:rsidRPr="003C4368" w:rsidRDefault="00E43202" w:rsidP="00E43202">
            <w:pPr>
              <w:rPr>
                <w:lang w:val="en-GB"/>
              </w:rPr>
            </w:pPr>
            <w:r w:rsidRPr="003C4368">
              <w:rPr>
                <w:lang w:val="en-GB"/>
              </w:rPr>
              <w:t>Meet the buyer events in Scotland</w:t>
            </w:r>
            <w:r w:rsidRPr="003C4368">
              <w:rPr>
                <w:lang w:val="en-GB"/>
              </w:rPr>
              <w:tab/>
            </w:r>
          </w:p>
          <w:p w:rsidR="006E51E6" w:rsidRPr="006E51E6" w:rsidRDefault="00E43202" w:rsidP="00E43202">
            <w:r w:rsidRPr="003C4368">
              <w:rPr>
                <w:b w:val="0"/>
                <w:lang w:val="en-GB"/>
              </w:rPr>
              <w:t xml:space="preserve">The Scottish Parliament has organised meet the buyer events and has developed a flexible presentation / workshop format that allows the Parliament Procurement Services to provide an informative, interactive experience to suppliers. This was accomplished after learning that previous one-to one meetings were too short and did not benefit the supplier or the purchaser in the way that was hoped for. </w:t>
            </w:r>
            <w:hyperlink r:id="rId13" w:history="1">
              <w:r w:rsidRPr="00E43202">
                <w:rPr>
                  <w:rStyle w:val="Hyperlink"/>
                  <w:b w:val="0"/>
                  <w:bCs w:val="0"/>
                </w:rPr>
                <w:t>Read the full case study</w:t>
              </w:r>
            </w:hyperlink>
            <w:r w:rsidRPr="00E43202">
              <w:rPr>
                <w:b w:val="0"/>
              </w:rPr>
              <w:t>.</w:t>
            </w:r>
          </w:p>
        </w:tc>
      </w:tr>
      <w:tr w:rsidR="006E51E6" w:rsidRPr="001052CC" w:rsidTr="007B0ACD">
        <w:tc>
          <w:tcPr>
            <w:cnfStyle w:val="001000000000" w:firstRow="0" w:lastRow="0" w:firstColumn="1" w:lastColumn="0" w:oddVBand="0" w:evenVBand="0" w:oddHBand="0" w:evenHBand="0" w:firstRowFirstColumn="0" w:firstRowLastColumn="0" w:lastRowFirstColumn="0" w:lastRowLastColumn="0"/>
            <w:tcW w:w="9039" w:type="dxa"/>
            <w:tcBorders>
              <w:top w:val="single" w:sz="4" w:space="0" w:color="31859B" w:themeColor="accent5"/>
              <w:bottom w:val="single" w:sz="4" w:space="0" w:color="31859B" w:themeColor="accent5"/>
              <w:right w:val="single" w:sz="4" w:space="0" w:color="31859B" w:themeColor="accent5"/>
            </w:tcBorders>
            <w:shd w:val="clear" w:color="auto" w:fill="F2F2F2" w:themeFill="background1" w:themeFillShade="F2"/>
          </w:tcPr>
          <w:p w:rsidR="00E43202" w:rsidRPr="003C4368" w:rsidRDefault="00E43202" w:rsidP="00E43202">
            <w:pPr>
              <w:rPr>
                <w:lang w:val="en-GB"/>
              </w:rPr>
            </w:pPr>
            <w:r w:rsidRPr="003C4368">
              <w:rPr>
                <w:lang w:val="en-GB"/>
              </w:rPr>
              <w:t>Réseau Grand Ouest network meets suppliers together</w:t>
            </w:r>
          </w:p>
          <w:p w:rsidR="006E51E6" w:rsidRPr="003C4368" w:rsidRDefault="00E43202" w:rsidP="00E43202">
            <w:pPr>
              <w:rPr>
                <w:lang w:val="en-GB"/>
              </w:rPr>
            </w:pPr>
            <w:r w:rsidRPr="003C4368">
              <w:rPr>
                <w:b w:val="0"/>
                <w:lang w:val="en-GB"/>
              </w:rPr>
              <w:t xml:space="preserve">The public authorities that form the Réseau Grand Ouest (RGO) regional network meet suppliers together as part of specific working groups for different product and service sectors. These include energy, cleaning products and construction. Meeting the suppliers is an opportunity for RGO to show suppliers their interest in sustainable products and promote innovation. The suppliers that RGO meets then receive a questionnaire. The communication between both parties is a major </w:t>
            </w:r>
            <w:r w:rsidRPr="003C4368">
              <w:rPr>
                <w:b w:val="0"/>
                <w:lang w:val="en-GB"/>
              </w:rPr>
              <w:lastRenderedPageBreak/>
              <w:t>factor for the success of the tenders. The suppliers meet individually with the RGO group for a conversation of around one hour. They introduce their company and answer questions from the public authorities.</w:t>
            </w:r>
          </w:p>
        </w:tc>
      </w:tr>
      <w:tr w:rsidR="00E43202" w:rsidRPr="006E51E6" w:rsidTr="007B0A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39" w:type="dxa"/>
            <w:tcBorders>
              <w:top w:val="single" w:sz="4" w:space="0" w:color="31859B" w:themeColor="accent5"/>
              <w:bottom w:val="single" w:sz="4" w:space="0" w:color="31859B" w:themeColor="accent5"/>
              <w:right w:val="single" w:sz="4" w:space="0" w:color="31859B" w:themeColor="accent5"/>
            </w:tcBorders>
            <w:shd w:val="clear" w:color="auto" w:fill="F2F2F2" w:themeFill="background1" w:themeFillShade="F2"/>
          </w:tcPr>
          <w:p w:rsidR="00E43202" w:rsidRPr="003C4368" w:rsidRDefault="00E43202" w:rsidP="00E43202">
            <w:pPr>
              <w:rPr>
                <w:lang w:val="en-GB"/>
              </w:rPr>
            </w:pPr>
            <w:r w:rsidRPr="003C4368">
              <w:rPr>
                <w:lang w:val="en-GB"/>
              </w:rPr>
              <w:lastRenderedPageBreak/>
              <w:t>Procurement of sustainable work wear in Catalonia</w:t>
            </w:r>
          </w:p>
          <w:p w:rsidR="00E43202" w:rsidRPr="006E51E6" w:rsidRDefault="00E43202" w:rsidP="00E43202">
            <w:r w:rsidRPr="003C4368">
              <w:rPr>
                <w:b w:val="0"/>
                <w:lang w:val="en-GB"/>
              </w:rPr>
              <w:t xml:space="preserve">The aim of the market engagement process was the inclusion of social (Barcelona City Council) and environmental (Catalan Government) criteria in the tenders, and to see the market readiness. Market engagement was based on individual face-to-face meetings with potential suppliers. Given the specific structure of textile production, consultation rounds of the potential providers with their supply chain had to be included, as well as specific consultations with certifying institutions (like oeko-tex or others). </w:t>
            </w:r>
            <w:hyperlink r:id="rId14" w:history="1">
              <w:r w:rsidRPr="00E43202">
                <w:rPr>
                  <w:rStyle w:val="Hyperlink"/>
                  <w:b w:val="0"/>
                  <w:bCs w:val="0"/>
                </w:rPr>
                <w:t>Read the full case study</w:t>
              </w:r>
            </w:hyperlink>
            <w:r w:rsidRPr="00E43202">
              <w:rPr>
                <w:b w:val="0"/>
              </w:rPr>
              <w:t>.</w:t>
            </w:r>
          </w:p>
        </w:tc>
      </w:tr>
      <w:tr w:rsidR="00E43202" w:rsidRPr="001052CC" w:rsidTr="007B0ACD">
        <w:tc>
          <w:tcPr>
            <w:cnfStyle w:val="001000000000" w:firstRow="0" w:lastRow="0" w:firstColumn="1" w:lastColumn="0" w:oddVBand="0" w:evenVBand="0" w:oddHBand="0" w:evenHBand="0" w:firstRowFirstColumn="0" w:firstRowLastColumn="0" w:lastRowFirstColumn="0" w:lastRowLastColumn="0"/>
            <w:tcW w:w="9039" w:type="dxa"/>
            <w:tcBorders>
              <w:top w:val="single" w:sz="4" w:space="0" w:color="31859B" w:themeColor="accent5"/>
              <w:bottom w:val="single" w:sz="4" w:space="0" w:color="31859B" w:themeColor="accent5"/>
              <w:right w:val="single" w:sz="4" w:space="0" w:color="31859B" w:themeColor="accent5"/>
            </w:tcBorders>
            <w:shd w:val="clear" w:color="auto" w:fill="F2F2F2" w:themeFill="background1" w:themeFillShade="F2"/>
          </w:tcPr>
          <w:p w:rsidR="00E43202" w:rsidRPr="003C4368" w:rsidRDefault="00E43202" w:rsidP="00E43202">
            <w:pPr>
              <w:rPr>
                <w:lang w:val="en-GB"/>
              </w:rPr>
            </w:pPr>
            <w:r w:rsidRPr="003C4368">
              <w:rPr>
                <w:lang w:val="en-GB"/>
              </w:rPr>
              <w:t>Meeting with groups of key suppliers in Portugal</w:t>
            </w:r>
            <w:r w:rsidRPr="003C4368">
              <w:rPr>
                <w:lang w:val="en-GB"/>
              </w:rPr>
              <w:tab/>
            </w:r>
          </w:p>
          <w:p w:rsidR="00E43202" w:rsidRPr="003C4368" w:rsidRDefault="00E43202" w:rsidP="00E43202">
            <w:pPr>
              <w:rPr>
                <w:b w:val="0"/>
                <w:lang w:val="en-GB"/>
              </w:rPr>
            </w:pPr>
            <w:r w:rsidRPr="003C4368">
              <w:rPr>
                <w:b w:val="0"/>
                <w:lang w:val="en-GB"/>
              </w:rPr>
              <w:t xml:space="preserve">Before procuring cleaning services several actions were carried out with potential suppliers to inform them of LIPOR’s objectives and to assess their response capacity, namely via: </w:t>
            </w:r>
          </w:p>
          <w:p w:rsidR="00E43202" w:rsidRPr="003C4368" w:rsidRDefault="00E43202" w:rsidP="00E43202">
            <w:pPr>
              <w:pStyle w:val="ListParagraph"/>
              <w:numPr>
                <w:ilvl w:val="0"/>
                <w:numId w:val="19"/>
              </w:numPr>
              <w:rPr>
                <w:b w:val="0"/>
                <w:lang w:val="en-GB"/>
              </w:rPr>
            </w:pPr>
            <w:r w:rsidRPr="003C4368">
              <w:rPr>
                <w:b w:val="0"/>
                <w:lang w:val="en-GB"/>
              </w:rPr>
              <w:t>meetings to assess suppliers’ ability to fulfil sustainability criteria;</w:t>
            </w:r>
          </w:p>
          <w:p w:rsidR="00E43202" w:rsidRPr="003C4368" w:rsidRDefault="00E43202" w:rsidP="00E43202">
            <w:pPr>
              <w:pStyle w:val="ListParagraph"/>
              <w:numPr>
                <w:ilvl w:val="0"/>
                <w:numId w:val="19"/>
              </w:numPr>
              <w:rPr>
                <w:b w:val="0"/>
                <w:lang w:val="en-GB"/>
              </w:rPr>
            </w:pPr>
            <w:r w:rsidRPr="003C4368">
              <w:rPr>
                <w:b w:val="0"/>
                <w:lang w:val="en-GB"/>
              </w:rPr>
              <w:t>communicating the benefits and implications of LIPOR’s sustainable public procurement (SPP) policy;</w:t>
            </w:r>
          </w:p>
          <w:p w:rsidR="00E43202" w:rsidRPr="003C4368" w:rsidRDefault="00E43202" w:rsidP="00E43202">
            <w:pPr>
              <w:pStyle w:val="ListParagraph"/>
              <w:numPr>
                <w:ilvl w:val="0"/>
                <w:numId w:val="19"/>
              </w:numPr>
              <w:rPr>
                <w:b w:val="0"/>
                <w:lang w:val="en-GB"/>
              </w:rPr>
            </w:pPr>
            <w:r w:rsidRPr="003C4368">
              <w:rPr>
                <w:b w:val="0"/>
                <w:lang w:val="en-GB"/>
              </w:rPr>
              <w:t>developing a monitoring plan to assess contract execution; and</w:t>
            </w:r>
          </w:p>
          <w:p w:rsidR="00E43202" w:rsidRPr="003C4368" w:rsidRDefault="00E43202" w:rsidP="00E43202">
            <w:pPr>
              <w:pStyle w:val="ListParagraph"/>
              <w:numPr>
                <w:ilvl w:val="0"/>
                <w:numId w:val="19"/>
              </w:numPr>
              <w:rPr>
                <w:b w:val="0"/>
                <w:lang w:val="en-GB"/>
              </w:rPr>
            </w:pPr>
            <w:r w:rsidRPr="003C4368">
              <w:rPr>
                <w:b w:val="0"/>
                <w:lang w:val="en-GB"/>
              </w:rPr>
              <w:t>deciding on how LIPOR would work with suppliers who did not initially respond to requirements.</w:t>
            </w:r>
          </w:p>
          <w:p w:rsidR="00E43202" w:rsidRPr="003C4368" w:rsidRDefault="00E43202" w:rsidP="00E43202">
            <w:pPr>
              <w:rPr>
                <w:lang w:val="en-GB"/>
              </w:rPr>
            </w:pPr>
            <w:r w:rsidRPr="003C4368">
              <w:rPr>
                <w:b w:val="0"/>
                <w:lang w:val="en-GB"/>
              </w:rPr>
              <w:t>Involving and establishing a dialogue with suppliers right from the start was considered extremely important, not only to know to what extent suppliers are prepared to respond and compete for increasingly demanding and complex procedures, but also to find out about the availability of alternative solutions on the market.</w:t>
            </w:r>
          </w:p>
        </w:tc>
      </w:tr>
      <w:tr w:rsidR="00E43202" w:rsidRPr="001052CC" w:rsidTr="007B0A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39" w:type="dxa"/>
            <w:tcBorders>
              <w:top w:val="single" w:sz="4" w:space="0" w:color="31859B" w:themeColor="accent5"/>
              <w:bottom w:val="single" w:sz="4" w:space="0" w:color="31859B" w:themeColor="accent5"/>
              <w:right w:val="single" w:sz="4" w:space="0" w:color="31859B" w:themeColor="accent5"/>
            </w:tcBorders>
            <w:shd w:val="clear" w:color="auto" w:fill="F2F2F2" w:themeFill="background1" w:themeFillShade="F2"/>
          </w:tcPr>
          <w:p w:rsidR="00E43202" w:rsidRPr="003C4368" w:rsidRDefault="00E43202" w:rsidP="00E43202">
            <w:pPr>
              <w:rPr>
                <w:lang w:val="en-GB"/>
              </w:rPr>
            </w:pPr>
            <w:r w:rsidRPr="003C4368">
              <w:rPr>
                <w:lang w:val="en-GB"/>
              </w:rPr>
              <w:t xml:space="preserve">Using market engagement to support demand driven innovation </w:t>
            </w:r>
            <w:r w:rsidRPr="003C4368">
              <w:rPr>
                <w:lang w:val="en-GB"/>
              </w:rPr>
              <w:tab/>
            </w:r>
          </w:p>
          <w:p w:rsidR="00E43202" w:rsidRPr="003C4368" w:rsidRDefault="00E43202" w:rsidP="00E43202">
            <w:pPr>
              <w:rPr>
                <w:lang w:val="en-GB"/>
              </w:rPr>
            </w:pPr>
            <w:r w:rsidRPr="003C4368">
              <w:rPr>
                <w:b w:val="0"/>
                <w:lang w:val="en-GB"/>
              </w:rPr>
              <w:t xml:space="preserve">The </w:t>
            </w:r>
            <w:hyperlink r:id="rId15" w:history="1">
              <w:r w:rsidRPr="003C4368">
                <w:rPr>
                  <w:rStyle w:val="Hyperlink"/>
                  <w:b w:val="0"/>
                  <w:bCs w:val="0"/>
                  <w:lang w:val="en-GB"/>
                </w:rPr>
                <w:t>HAPPI project</w:t>
              </w:r>
            </w:hyperlink>
            <w:r w:rsidRPr="003C4368">
              <w:rPr>
                <w:b w:val="0"/>
                <w:lang w:val="en-GB"/>
              </w:rPr>
              <w:t xml:space="preserve"> took a very different approach to market engagement. Rather than starting with a specification, a variety of innovative solutions were considered on the condition that they assisted in healthy ageing. Over 500 people participated in market information days, with 150 innovative solutions submitted to an online platform across a four month period (September 2013 to end January 2014).  These submissions were central to deciding on the procurement route, structure, Lots and specifications.</w:t>
            </w:r>
          </w:p>
        </w:tc>
      </w:tr>
      <w:tr w:rsidR="00E43202" w:rsidRPr="006E51E6" w:rsidTr="007B0ACD">
        <w:tc>
          <w:tcPr>
            <w:cnfStyle w:val="001000000000" w:firstRow="0" w:lastRow="0" w:firstColumn="1" w:lastColumn="0" w:oddVBand="0" w:evenVBand="0" w:oddHBand="0" w:evenHBand="0" w:firstRowFirstColumn="0" w:firstRowLastColumn="0" w:lastRowFirstColumn="0" w:lastRowLastColumn="0"/>
            <w:tcW w:w="9039" w:type="dxa"/>
            <w:tcBorders>
              <w:top w:val="single" w:sz="4" w:space="0" w:color="31859B" w:themeColor="accent5"/>
              <w:bottom w:val="single" w:sz="4" w:space="0" w:color="31859B" w:themeColor="accent5"/>
              <w:right w:val="single" w:sz="4" w:space="0" w:color="31859B" w:themeColor="accent5"/>
            </w:tcBorders>
            <w:shd w:val="clear" w:color="auto" w:fill="F2F2F2" w:themeFill="background1" w:themeFillShade="F2"/>
          </w:tcPr>
          <w:p w:rsidR="00E43202" w:rsidRPr="003C4368" w:rsidRDefault="00E43202" w:rsidP="00E43202">
            <w:pPr>
              <w:rPr>
                <w:lang w:val="en-GB"/>
              </w:rPr>
            </w:pPr>
            <w:r w:rsidRPr="003C4368">
              <w:rPr>
                <w:lang w:val="en-GB"/>
              </w:rPr>
              <w:t xml:space="preserve">Competitive dialogue for an electric ferry in Norway </w:t>
            </w:r>
          </w:p>
          <w:p w:rsidR="00E43202" w:rsidRPr="00E43202" w:rsidRDefault="00E43202" w:rsidP="00E43202">
            <w:pPr>
              <w:rPr>
                <w:b w:val="0"/>
              </w:rPr>
            </w:pPr>
            <w:r w:rsidRPr="003C4368">
              <w:rPr>
                <w:b w:val="0"/>
                <w:lang w:val="en-GB"/>
              </w:rPr>
              <w:t xml:space="preserve">The Norwegian Directorate of Public Roads wished to procure a new ferry that was 15 - 20% more energy efficient than the one in operation. As part of a two-stage procurement procedure the Directorate entered into a competitive dialogue to explore innovative solutions for energy efficient ferries. The winning tender, produced in partnership with ferry operators, engineering firms and building yards, was an electrically powered ferry that brought a 70% reduction in fuel costs and 89% reduction in CO2 emissions per year. </w:t>
            </w:r>
            <w:hyperlink r:id="rId16" w:history="1">
              <w:r w:rsidRPr="00E43202">
                <w:rPr>
                  <w:rStyle w:val="Hyperlink"/>
                  <w:b w:val="0"/>
                  <w:bCs w:val="0"/>
                </w:rPr>
                <w:t>Read the full case study</w:t>
              </w:r>
            </w:hyperlink>
            <w:r w:rsidRPr="00E43202">
              <w:rPr>
                <w:b w:val="0"/>
              </w:rPr>
              <w:t>.</w:t>
            </w:r>
          </w:p>
        </w:tc>
      </w:tr>
      <w:tr w:rsidR="00E43202" w:rsidRPr="006E51E6" w:rsidTr="007B0A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39" w:type="dxa"/>
            <w:tcBorders>
              <w:top w:val="single" w:sz="4" w:space="0" w:color="31859B" w:themeColor="accent5"/>
              <w:right w:val="single" w:sz="4" w:space="0" w:color="31859B" w:themeColor="accent5"/>
            </w:tcBorders>
            <w:shd w:val="clear" w:color="auto" w:fill="F2F2F2" w:themeFill="background1" w:themeFillShade="F2"/>
          </w:tcPr>
          <w:p w:rsidR="00501FEA" w:rsidRPr="003C4368" w:rsidRDefault="00501FEA" w:rsidP="00501FEA">
            <w:pPr>
              <w:rPr>
                <w:lang w:val="en-GB"/>
              </w:rPr>
            </w:pPr>
            <w:r w:rsidRPr="003C4368">
              <w:rPr>
                <w:lang w:val="en-GB"/>
              </w:rPr>
              <w:t>Region of Southern Denmark: engaging suppliers during and after the tender process</w:t>
            </w:r>
          </w:p>
          <w:p w:rsidR="00E43202" w:rsidRPr="00501FEA" w:rsidRDefault="00501FEA" w:rsidP="00501FEA">
            <w:pPr>
              <w:rPr>
                <w:b w:val="0"/>
              </w:rPr>
            </w:pPr>
            <w:r w:rsidRPr="003C4368">
              <w:rPr>
                <w:b w:val="0"/>
                <w:lang w:val="en-GB"/>
              </w:rPr>
              <w:t xml:space="preserve">The Region of Southern Denmark has formulated a strategy for procurement process: dialogue and supply wheels. Market Dialogue is included in all phases of the wheel, because it offers the opportunity to gain a deeper insight into market opportunities and limitations. Through supplier briefings, and question and answer sessions, the focus is on writing tenders that are sharp and relevant. This ensures ongoing good relations with the market, while procurement practitioners become better equipped to write future offers. </w:t>
            </w:r>
            <w:hyperlink r:id="rId17" w:history="1">
              <w:r w:rsidRPr="00501FEA">
                <w:rPr>
                  <w:rStyle w:val="Hyperlink"/>
                  <w:b w:val="0"/>
                  <w:bCs w:val="0"/>
                </w:rPr>
                <w:t>Read the full case study</w:t>
              </w:r>
            </w:hyperlink>
            <w:r w:rsidRPr="00501FEA">
              <w:rPr>
                <w:b w:val="0"/>
              </w:rPr>
              <w:t>.</w:t>
            </w:r>
          </w:p>
        </w:tc>
      </w:tr>
    </w:tbl>
    <w:p w:rsidR="00CF301B" w:rsidRDefault="00CF301B" w:rsidP="006E51E6"/>
    <w:p w:rsidR="00CF301B" w:rsidRPr="007B0ACD" w:rsidRDefault="00CF301B" w:rsidP="006E51E6">
      <w:pPr>
        <w:rPr>
          <w:lang w:val="en-GB"/>
        </w:rPr>
        <w:sectPr w:rsidR="00CF301B" w:rsidRPr="007B0ACD" w:rsidSect="00F444D0">
          <w:headerReference w:type="default" r:id="rId18"/>
          <w:footerReference w:type="default" r:id="rId19"/>
          <w:footerReference w:type="first" r:id="rId20"/>
          <w:pgSz w:w="11906" w:h="16838"/>
          <w:pgMar w:top="1417" w:right="1417" w:bottom="1134" w:left="1417" w:header="708" w:footer="117" w:gutter="0"/>
          <w:pgNumType w:chapStyle="1" w:chapSep="colon"/>
          <w:cols w:space="708"/>
          <w:titlePg/>
          <w:docGrid w:linePitch="360"/>
        </w:sectPr>
      </w:pPr>
      <w:r w:rsidRPr="007B0ACD">
        <w:rPr>
          <w:lang w:val="en-GB"/>
        </w:rPr>
        <w:t xml:space="preserve">All case studies sourced from the SPP Regions project Market Engagement Best Practice Report, available at </w:t>
      </w:r>
      <w:hyperlink r:id="rId21" w:history="1">
        <w:r w:rsidR="007B0ACD" w:rsidRPr="007B0ACD">
          <w:rPr>
            <w:rStyle w:val="Hyperlink"/>
            <w:lang w:val="en-GB"/>
          </w:rPr>
          <w:t>http://sppregions.eu/resources/publications/</w:t>
        </w:r>
      </w:hyperlink>
      <w:r w:rsidRPr="007B0ACD">
        <w:rPr>
          <w:lang w:val="en-GB"/>
        </w:rPr>
        <w:t xml:space="preserve">. </w:t>
      </w:r>
    </w:p>
    <w:p w:rsidR="0023079F" w:rsidRPr="00BC08B1" w:rsidRDefault="00B627E3" w:rsidP="002318A4">
      <w:pPr>
        <w:pStyle w:val="B-Headline01"/>
      </w:pPr>
      <w:r w:rsidRPr="00BC08B1">
        <w:lastRenderedPageBreak/>
        <w:t>Further m</w:t>
      </w:r>
      <w:r w:rsidR="00501FEA" w:rsidRPr="00BC08B1">
        <w:t>ark</w:t>
      </w:r>
      <w:r w:rsidRPr="00BC08B1">
        <w:t xml:space="preserve">et engagement guidance </w:t>
      </w:r>
    </w:p>
    <w:p w:rsidR="00501FEA" w:rsidRDefault="00B65597" w:rsidP="00501FEA">
      <w:pPr>
        <w:rPr>
          <w:lang w:val="en-GB"/>
        </w:rPr>
      </w:pPr>
      <w:r w:rsidRPr="002318A4">
        <w:rPr>
          <w:lang w:val="en-GB"/>
        </w:rPr>
        <w:t xml:space="preserve">The following guidance can help </w:t>
      </w:r>
      <w:r w:rsidR="00501FEA" w:rsidRPr="002318A4">
        <w:rPr>
          <w:lang w:val="en-GB"/>
        </w:rPr>
        <w:t xml:space="preserve">for </w:t>
      </w:r>
      <w:r w:rsidRPr="002318A4">
        <w:rPr>
          <w:lang w:val="en-GB"/>
        </w:rPr>
        <w:t xml:space="preserve">deciding </w:t>
      </w:r>
      <w:r w:rsidR="00501FEA" w:rsidRPr="002318A4">
        <w:rPr>
          <w:lang w:val="en-GB"/>
        </w:rPr>
        <w:t xml:space="preserve">when to engage the market </w:t>
      </w:r>
      <w:r w:rsidRPr="002318A4">
        <w:rPr>
          <w:lang w:val="en-GB"/>
        </w:rPr>
        <w:t xml:space="preserve">and if the use of resources is appropriate for the specific procurement </w:t>
      </w:r>
      <w:r w:rsidR="00501FEA" w:rsidRPr="002318A4">
        <w:rPr>
          <w:lang w:val="en-GB"/>
        </w:rPr>
        <w:t>(</w:t>
      </w:r>
      <w:r w:rsidRPr="002318A4">
        <w:rPr>
          <w:lang w:val="en-GB"/>
        </w:rPr>
        <w:t xml:space="preserve">from </w:t>
      </w:r>
      <w:r w:rsidR="00501FEA" w:rsidRPr="002318A4">
        <w:rPr>
          <w:lang w:val="en-GB"/>
        </w:rPr>
        <w:t>Cornwall Council, UK)</w:t>
      </w:r>
      <w:r w:rsidRPr="002318A4">
        <w:rPr>
          <w:lang w:val="en-GB"/>
        </w:rPr>
        <w:t xml:space="preserve">. </w:t>
      </w:r>
    </w:p>
    <w:tbl>
      <w:tblPr>
        <w:tblStyle w:val="TableGrid"/>
        <w:tblW w:w="0" w:type="auto"/>
        <w:tblLook w:val="04A0" w:firstRow="1" w:lastRow="0" w:firstColumn="1" w:lastColumn="0" w:noHBand="0" w:noVBand="1"/>
      </w:tblPr>
      <w:tblGrid>
        <w:gridCol w:w="9062"/>
      </w:tblGrid>
      <w:tr w:rsidR="00501FEA" w:rsidRPr="001052CC" w:rsidTr="00501FEA">
        <w:tc>
          <w:tcPr>
            <w:tcW w:w="9212" w:type="dxa"/>
          </w:tcPr>
          <w:p w:rsidR="00501FEA" w:rsidRPr="003C4368" w:rsidRDefault="00501FEA" w:rsidP="00501FEA">
            <w:pPr>
              <w:pStyle w:val="Heading3"/>
              <w:outlineLvl w:val="2"/>
              <w:rPr>
                <w:lang w:val="en-GB"/>
              </w:rPr>
            </w:pPr>
            <w:r w:rsidRPr="003C4368">
              <w:rPr>
                <w:lang w:val="en-GB"/>
              </w:rPr>
              <w:t>Rational</w:t>
            </w:r>
            <w:r w:rsidR="00D078F8" w:rsidRPr="003C4368">
              <w:rPr>
                <w:lang w:val="en-GB"/>
              </w:rPr>
              <w:t>e</w:t>
            </w:r>
          </w:p>
          <w:p w:rsidR="00501FEA" w:rsidRPr="003C4368" w:rsidRDefault="00501FEA" w:rsidP="00501FEA">
            <w:pPr>
              <w:rPr>
                <w:lang w:val="en-GB"/>
              </w:rPr>
            </w:pPr>
            <w:r w:rsidRPr="003C4368">
              <w:rPr>
                <w:lang w:val="en-GB"/>
              </w:rPr>
              <w:t xml:space="preserve">Public Authorities are large and complex organisations which award a huge range of contracts across sectors as broad as construction, social care and transportation. These contracts vary significantly in complexity, value and potential for innovation; to name a few things. </w:t>
            </w:r>
          </w:p>
          <w:p w:rsidR="00B627E3" w:rsidRPr="003C4368" w:rsidRDefault="00B627E3" w:rsidP="00501FEA">
            <w:pPr>
              <w:rPr>
                <w:lang w:val="en-GB"/>
              </w:rPr>
            </w:pPr>
          </w:p>
          <w:p w:rsidR="00501FEA" w:rsidRPr="003C4368" w:rsidRDefault="00501FEA" w:rsidP="00501FEA">
            <w:pPr>
              <w:rPr>
                <w:lang w:val="en-GB"/>
              </w:rPr>
            </w:pPr>
            <w:r w:rsidRPr="003C4368">
              <w:rPr>
                <w:lang w:val="en-GB"/>
              </w:rPr>
              <w:t>Although it is recognised that engaging with the market is vital in many cases to achieve effective procurement, it is also felt that this is not always the case and that market research can sometimes be sufficient. Additionally, the different methods of supplier engagement which can be used before, during and after a procurement process, will not be applicable to every type of contract or market.</w:t>
            </w:r>
          </w:p>
          <w:p w:rsidR="00501FEA" w:rsidRPr="003C4368" w:rsidRDefault="00501FEA" w:rsidP="00501FEA">
            <w:pPr>
              <w:pStyle w:val="Heading3"/>
              <w:outlineLvl w:val="2"/>
              <w:rPr>
                <w:lang w:val="en-GB"/>
              </w:rPr>
            </w:pPr>
            <w:r w:rsidRPr="003C4368">
              <w:rPr>
                <w:lang w:val="en-GB"/>
              </w:rPr>
              <w:t>Approach</w:t>
            </w:r>
          </w:p>
          <w:p w:rsidR="00501FEA" w:rsidRPr="003C4368" w:rsidRDefault="00501FEA" w:rsidP="00501FEA">
            <w:pPr>
              <w:rPr>
                <w:lang w:val="en-GB"/>
              </w:rPr>
            </w:pPr>
            <w:r w:rsidRPr="003C4368">
              <w:rPr>
                <w:lang w:val="en-GB"/>
              </w:rPr>
              <w:t>The list of criteria below seeks to summarise the variables which impact on the types of market engagement which might be appropriate. Paired with a complete list of potential market engagement activities it is hoped a model can be designed to proactively guide procurement leads towards appropriate market engagement strategies for each of their contracts.</w:t>
            </w:r>
          </w:p>
          <w:p w:rsidR="00501FEA" w:rsidRPr="003C4368" w:rsidRDefault="00501FEA" w:rsidP="00501FEA">
            <w:pPr>
              <w:pStyle w:val="Heading3"/>
              <w:outlineLvl w:val="2"/>
              <w:rPr>
                <w:lang w:val="en-GB"/>
              </w:rPr>
            </w:pPr>
            <w:r w:rsidRPr="003C4368">
              <w:rPr>
                <w:lang w:val="en-GB"/>
              </w:rPr>
              <w:t>Criteria for Market Engagement</w:t>
            </w:r>
          </w:p>
          <w:p w:rsidR="00501FEA" w:rsidRPr="003C4368" w:rsidRDefault="00501FEA" w:rsidP="00501FEA">
            <w:pPr>
              <w:pStyle w:val="Heading4"/>
              <w:outlineLvl w:val="3"/>
              <w:rPr>
                <w:lang w:val="en-GB"/>
              </w:rPr>
            </w:pPr>
            <w:r w:rsidRPr="003C4368">
              <w:rPr>
                <w:lang w:val="en-GB"/>
              </w:rPr>
              <w:t>How complex is the product/service?</w:t>
            </w:r>
          </w:p>
          <w:p w:rsidR="00501FEA" w:rsidRPr="003C4368" w:rsidRDefault="00501FEA" w:rsidP="00501FEA">
            <w:pPr>
              <w:rPr>
                <w:lang w:val="en-GB"/>
              </w:rPr>
            </w:pPr>
            <w:r w:rsidRPr="003C4368">
              <w:rPr>
                <w:lang w:val="en-GB"/>
              </w:rPr>
              <w:t>Where the requirements of the contract are complex this can be difficult to articulate to the market in written procurement documentation. Consequently, explaining the requirements in a face to face environment can be highly beneficial, encouraging compliance with the specification, innovation and competition.</w:t>
            </w:r>
          </w:p>
          <w:p w:rsidR="00501FEA" w:rsidRPr="003C4368" w:rsidRDefault="00501FEA" w:rsidP="00501FEA">
            <w:pPr>
              <w:pStyle w:val="Heading4"/>
              <w:outlineLvl w:val="3"/>
              <w:rPr>
                <w:lang w:val="en-GB"/>
              </w:rPr>
            </w:pPr>
            <w:r w:rsidRPr="003C4368">
              <w:rPr>
                <w:lang w:val="en-GB"/>
              </w:rPr>
              <w:t>How complex is the market?</w:t>
            </w:r>
          </w:p>
          <w:p w:rsidR="00501FEA" w:rsidRPr="003C4368" w:rsidRDefault="00501FEA" w:rsidP="00501FEA">
            <w:pPr>
              <w:rPr>
                <w:lang w:val="en-GB"/>
              </w:rPr>
            </w:pPr>
            <w:r w:rsidRPr="003C4368">
              <w:rPr>
                <w:lang w:val="en-GB"/>
              </w:rPr>
              <w:t>Is there a monopoly, perfect competition or something in between? This can have an impact on the value of 1-2-many engagement and a bearing on which styles of engagement might be most effective.</w:t>
            </w:r>
          </w:p>
          <w:p w:rsidR="00501FEA" w:rsidRPr="003C4368" w:rsidRDefault="00501FEA" w:rsidP="00501FEA">
            <w:pPr>
              <w:pStyle w:val="Heading4"/>
              <w:outlineLvl w:val="3"/>
              <w:rPr>
                <w:lang w:val="en-GB"/>
              </w:rPr>
            </w:pPr>
            <w:r w:rsidRPr="003C4368">
              <w:rPr>
                <w:lang w:val="en-GB"/>
              </w:rPr>
              <w:t>How mature is the market?</w:t>
            </w:r>
          </w:p>
          <w:p w:rsidR="00501FEA" w:rsidRPr="003C4368" w:rsidRDefault="00501FEA" w:rsidP="00501FEA">
            <w:pPr>
              <w:rPr>
                <w:lang w:val="en-GB"/>
              </w:rPr>
            </w:pPr>
            <w:r w:rsidRPr="003C4368">
              <w:rPr>
                <w:lang w:val="en-GB"/>
              </w:rPr>
              <w:t>If many of the suppliers in a particular market are not used to tendering for contracts with the public sector it can have a significant impact on competition if they are not offered sufficient support. SME’s in particular, who can struggle to resource responses to public contract opportunities, may need bespoke support both prior to and during the procurement process.</w:t>
            </w:r>
          </w:p>
          <w:p w:rsidR="00501FEA" w:rsidRPr="003C4368" w:rsidRDefault="00501FEA" w:rsidP="00501FEA">
            <w:pPr>
              <w:pStyle w:val="Heading4"/>
              <w:outlineLvl w:val="3"/>
              <w:rPr>
                <w:lang w:val="en-GB"/>
              </w:rPr>
            </w:pPr>
            <w:r w:rsidRPr="003C4368">
              <w:rPr>
                <w:lang w:val="en-GB"/>
              </w:rPr>
              <w:t>What is the scope for innovation?</w:t>
            </w:r>
          </w:p>
          <w:p w:rsidR="00501FEA" w:rsidRPr="003C4368" w:rsidRDefault="00501FEA" w:rsidP="00501FEA">
            <w:pPr>
              <w:rPr>
                <w:lang w:val="en-GB"/>
              </w:rPr>
            </w:pPr>
            <w:r w:rsidRPr="003C4368">
              <w:rPr>
                <w:lang w:val="en-GB"/>
              </w:rPr>
              <w:t>Where a contract is seeking to be innovative in any way market engagement is essential. Two way communications with the market will enable the procurement lead to assess the risks and opportunities associated with the level of innovation expected. Robust pre-procurement market engagement can be used, in many cases, to avoid the use of time consuming and resource intensive procurement processes such as the competitive procedure with negotiation or competitive dialogue; although these are occasionally still likely to be required.</w:t>
            </w:r>
          </w:p>
          <w:p w:rsidR="00501FEA" w:rsidRPr="003C4368" w:rsidRDefault="00501FEA" w:rsidP="00501FEA">
            <w:pPr>
              <w:pStyle w:val="Heading4"/>
              <w:outlineLvl w:val="3"/>
              <w:rPr>
                <w:lang w:val="en-GB"/>
              </w:rPr>
            </w:pPr>
            <w:r w:rsidRPr="003C4368">
              <w:rPr>
                <w:lang w:val="en-GB"/>
              </w:rPr>
              <w:t>What is the scope for delivering policy through procurement objectives? E.g. Social Value</w:t>
            </w:r>
          </w:p>
          <w:p w:rsidR="00501FEA" w:rsidRPr="003C4368" w:rsidRDefault="00501FEA" w:rsidP="00501FEA">
            <w:pPr>
              <w:rPr>
                <w:lang w:val="en-GB"/>
              </w:rPr>
            </w:pPr>
            <w:r w:rsidRPr="003C4368">
              <w:rPr>
                <w:lang w:val="en-GB"/>
              </w:rPr>
              <w:t xml:space="preserve">Linked to innovation, if there are new or stretching requirements on a policy through procurement </w:t>
            </w:r>
            <w:r w:rsidRPr="003C4368">
              <w:rPr>
                <w:lang w:val="en-GB"/>
              </w:rPr>
              <w:lastRenderedPageBreak/>
              <w:t>objective such as social value it is vital this is properly communicated with the market and support given where appropriate.</w:t>
            </w:r>
          </w:p>
          <w:p w:rsidR="00501FEA" w:rsidRPr="003C4368" w:rsidRDefault="00501FEA" w:rsidP="00501FEA">
            <w:pPr>
              <w:pStyle w:val="Heading4"/>
              <w:outlineLvl w:val="3"/>
              <w:rPr>
                <w:lang w:val="en-GB"/>
              </w:rPr>
            </w:pPr>
            <w:r w:rsidRPr="003C4368">
              <w:rPr>
                <w:lang w:val="en-GB"/>
              </w:rPr>
              <w:t>What is the value of the contract?</w:t>
            </w:r>
          </w:p>
          <w:p w:rsidR="00501FEA" w:rsidRPr="003C4368" w:rsidRDefault="00501FEA" w:rsidP="00501FEA">
            <w:pPr>
              <w:rPr>
                <w:lang w:val="en-GB"/>
              </w:rPr>
            </w:pPr>
            <w:r w:rsidRPr="003C4368">
              <w:rPr>
                <w:lang w:val="en-GB"/>
              </w:rPr>
              <w:t>Certain types of market engagement can be time and resource intensive. Ensuring that resource allocation is justifiable is vital to the long term success of a market engagement approach.</w:t>
            </w:r>
          </w:p>
          <w:p w:rsidR="00501FEA" w:rsidRPr="003C4368" w:rsidRDefault="00501FEA" w:rsidP="00501FEA">
            <w:pPr>
              <w:pStyle w:val="Heading4"/>
              <w:outlineLvl w:val="3"/>
              <w:rPr>
                <w:lang w:val="en-GB"/>
              </w:rPr>
            </w:pPr>
            <w:r w:rsidRPr="003C4368">
              <w:rPr>
                <w:lang w:val="en-GB"/>
              </w:rPr>
              <w:t>What is balance of knowledge between buyer and supplier?</w:t>
            </w:r>
          </w:p>
          <w:p w:rsidR="00501FEA" w:rsidRPr="003C4368" w:rsidRDefault="00501FEA" w:rsidP="00501FEA">
            <w:pPr>
              <w:rPr>
                <w:lang w:val="en-GB"/>
              </w:rPr>
            </w:pPr>
            <w:r w:rsidRPr="003C4368">
              <w:rPr>
                <w:lang w:val="en-GB"/>
              </w:rPr>
              <w:t>Where the buyer is highly knowledgeable about the goods/service to be delivered there may only be requirement for one way communication. However, where suppliers and the wider market are more knowledgeable about the goods/service two way communications are more likely to be necessary.</w:t>
            </w:r>
          </w:p>
          <w:p w:rsidR="00501FEA" w:rsidRPr="003C4368" w:rsidRDefault="00501FEA" w:rsidP="00D17BEC">
            <w:pPr>
              <w:rPr>
                <w:lang w:val="en-GB"/>
              </w:rPr>
            </w:pPr>
          </w:p>
        </w:tc>
      </w:tr>
    </w:tbl>
    <w:p w:rsidR="00581731" w:rsidRPr="003C4368" w:rsidRDefault="00581731" w:rsidP="00D17BEC">
      <w:pPr>
        <w:rPr>
          <w:lang w:val="en-GB"/>
        </w:rPr>
      </w:pPr>
    </w:p>
    <w:p w:rsidR="004A03FD" w:rsidRPr="003C4368" w:rsidRDefault="004A03FD" w:rsidP="00B65597">
      <w:pPr>
        <w:rPr>
          <w:lang w:val="en-GB"/>
        </w:rPr>
      </w:pPr>
      <w:r w:rsidRPr="003C4368">
        <w:rPr>
          <w:lang w:val="en-GB"/>
        </w:rPr>
        <w:t xml:space="preserve">Document published: </w:t>
      </w:r>
      <w:r w:rsidR="00B65597" w:rsidRPr="003C4368">
        <w:rPr>
          <w:highlight w:val="yellow"/>
          <w:lang w:val="en-GB"/>
        </w:rPr>
        <w:t>December</w:t>
      </w:r>
      <w:r w:rsidRPr="003C4368">
        <w:rPr>
          <w:highlight w:val="yellow"/>
          <w:lang w:val="en-GB"/>
        </w:rPr>
        <w:t xml:space="preserve"> 2018</w:t>
      </w:r>
    </w:p>
    <w:p w:rsidR="00581731" w:rsidRPr="003C4368" w:rsidRDefault="004A03FD" w:rsidP="00B65597">
      <w:pPr>
        <w:rPr>
          <w:lang w:val="en-GB"/>
        </w:rPr>
      </w:pPr>
      <w:r w:rsidRPr="003C4368">
        <w:rPr>
          <w:lang w:val="en-GB"/>
        </w:rPr>
        <w:t>Author: John Watt, ICLEI – Local Governments for Sustainability</w:t>
      </w:r>
    </w:p>
    <w:p w:rsidR="00581731" w:rsidRPr="003C4368" w:rsidRDefault="00581731" w:rsidP="00D17BEC">
      <w:pPr>
        <w:rPr>
          <w:lang w:val="en-GB"/>
        </w:rPr>
      </w:pPr>
    </w:p>
    <w:p w:rsidR="00B85044" w:rsidRPr="003C4368" w:rsidRDefault="00B85044" w:rsidP="00D17BEC">
      <w:pPr>
        <w:rPr>
          <w:lang w:val="en-GB"/>
        </w:rPr>
      </w:pPr>
    </w:p>
    <w:p w:rsidR="00D17BEC" w:rsidRPr="006E51E6" w:rsidRDefault="0065210E" w:rsidP="00D17BEC">
      <w:r>
        <w:rPr>
          <w:noProof/>
        </w:rPr>
        <mc:AlternateContent>
          <mc:Choice Requires="wps">
            <w:drawing>
              <wp:anchor distT="0" distB="0" distL="114300" distR="114300" simplePos="0" relativeHeight="251665408" behindDoc="0" locked="0" layoutInCell="1" allowOverlap="1" wp14:anchorId="3DE204F3">
                <wp:simplePos x="0" y="0"/>
                <wp:positionH relativeFrom="margin">
                  <wp:posOffset>-23495</wp:posOffset>
                </wp:positionH>
                <wp:positionV relativeFrom="margin">
                  <wp:posOffset>7833995</wp:posOffset>
                </wp:positionV>
                <wp:extent cx="5727700" cy="1023620"/>
                <wp:effectExtent l="0" t="0" r="0" b="0"/>
                <wp:wrapSquare wrapText="bothSides"/>
                <wp:docPr id="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27700" cy="1023620"/>
                        </a:xfrm>
                        <a:prstGeom prst="rect">
                          <a:avLst/>
                        </a:prstGeom>
                        <a:solidFill>
                          <a:schemeClr val="bg1">
                            <a:lumMod val="8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id w:val="93698024"/>
                              <w:docPartObj>
                                <w:docPartGallery w:val="Page Numbers (Bottom of Page)"/>
                                <w:docPartUnique/>
                              </w:docPartObj>
                            </w:sdtPr>
                            <w:sdtEndPr/>
                            <w:sdtContent>
                              <w:p w:rsidR="001052CC" w:rsidRPr="003C4368" w:rsidRDefault="001052CC" w:rsidP="00216B1B">
                                <w:pPr>
                                  <w:pStyle w:val="Footer"/>
                                  <w:jc w:val="center"/>
                                  <w:rPr>
                                    <w:color w:val="242423" w:themeColor="text1" w:themeShade="80"/>
                                    <w:sz w:val="20"/>
                                    <w:lang w:val="en-GB"/>
                                  </w:rPr>
                                </w:pPr>
                                <w:r w:rsidRPr="003C4368">
                                  <w:rPr>
                                    <w:color w:val="242423" w:themeColor="text1" w:themeShade="80"/>
                                    <w:sz w:val="20"/>
                                    <w:lang w:val="en-GB"/>
                                  </w:rPr>
                                  <w:t xml:space="preserve">Toolkit developed for the European Commission by ICLEI - Local Governments for </w:t>
                                </w:r>
                                <w:r w:rsidRPr="00262366">
                                  <w:rPr>
                                    <w:color w:val="242423" w:themeColor="text1" w:themeShade="80"/>
                                    <w:sz w:val="20"/>
                                    <w:lang w:val="en-IE"/>
                                  </w:rPr>
                                  <w:t>Sustainability</w:t>
                                </w:r>
                              </w:p>
                              <w:p w:rsidR="001052CC" w:rsidRPr="003C4368" w:rsidRDefault="001052CC" w:rsidP="00216B1B">
                                <w:pPr>
                                  <w:pStyle w:val="Footer"/>
                                  <w:jc w:val="center"/>
                                  <w:rPr>
                                    <w:color w:val="242423" w:themeColor="text1" w:themeShade="80"/>
                                    <w:sz w:val="20"/>
                                    <w:lang w:val="en-GB"/>
                                  </w:rPr>
                                </w:pPr>
                                <w:r w:rsidRPr="00262366">
                                  <w:rPr>
                                    <w:b/>
                                    <w:bCs/>
                                    <w:color w:val="242423" w:themeColor="text1" w:themeShade="80"/>
                                    <w:sz w:val="20"/>
                                    <w:lang w:val="en-IE"/>
                                  </w:rPr>
                                  <w:t xml:space="preserve">Owner, Editor: </w:t>
                                </w:r>
                                <w:r w:rsidRPr="00262366">
                                  <w:rPr>
                                    <w:color w:val="242423" w:themeColor="text1" w:themeShade="80"/>
                                    <w:sz w:val="20"/>
                                    <w:lang w:val="en-IE"/>
                                  </w:rPr>
                                  <w:t xml:space="preserve">European Commission, DG Environment, </w:t>
                                </w:r>
                                <w:r>
                                  <w:rPr>
                                    <w:color w:val="242423" w:themeColor="text1" w:themeShade="80"/>
                                    <w:sz w:val="20"/>
                                    <w:lang w:val="en-IE"/>
                                  </w:rPr>
                                  <w:t>2019</w:t>
                                </w:r>
                              </w:p>
                              <w:p w:rsidR="001052CC" w:rsidRPr="003C4368" w:rsidRDefault="001052CC" w:rsidP="00E50624">
                                <w:pPr>
                                  <w:pStyle w:val="Footer"/>
                                  <w:jc w:val="center"/>
                                  <w:rPr>
                                    <w:sz w:val="20"/>
                                    <w:lang w:val="en-GB"/>
                                  </w:rPr>
                                </w:pPr>
                                <w:r w:rsidRPr="003C4368">
                                  <w:rPr>
                                    <w:b/>
                                    <w:bCs/>
                                    <w:color w:val="242423" w:themeColor="text1" w:themeShade="80"/>
                                    <w:sz w:val="20"/>
                                    <w:lang w:val="en-GB"/>
                                  </w:rPr>
                                  <w:t xml:space="preserve">Disclaimer: </w:t>
                                </w:r>
                                <w:r w:rsidRPr="003C4368">
                                  <w:rPr>
                                    <w:color w:val="242423" w:themeColor="text1" w:themeShade="80"/>
                                    <w:sz w:val="20"/>
                                    <w:lang w:val="en-GB"/>
                                  </w:rPr>
                                  <w:t>This toolkit is an indicative document of the Commission services and cannot be considered binding to this institution in any way. Neither the European Commission nor any person acting</w:t>
                                </w:r>
                                <w:r w:rsidRPr="003C4368">
                                  <w:rPr>
                                    <w:sz w:val="20"/>
                                    <w:lang w:val="en-GB"/>
                                  </w:rPr>
                                  <w:t xml:space="preserve"> on behalf of the Commission is responsible for the use that might be made of the information in this document.</w:t>
                                </w:r>
                              </w:p>
                            </w:sdtContent>
                          </w:sdt>
                          <w:p w:rsidR="001052CC" w:rsidRPr="003C4368" w:rsidRDefault="001052CC" w:rsidP="00216B1B">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E204F3" id="Rectangle 7" o:spid="_x0000_s1027" style="position:absolute;margin-left:-1.85pt;margin-top:616.85pt;width:451pt;height:80.6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" fillcolor="#d8d8d8 [2732]" stroked="f">
                <v:path arrowok="t"/>
                <v:textbox>
                  <w:txbxContent>
                    <w:sdt>
                      <w:sdtPr>
                        <w:id w:val="93698024"/>
                        <w:docPartObj>
                          <w:docPartGallery w:val="Page Numbers (Bottom of Page)"/>
                          <w:docPartUnique/>
                        </w:docPartObj>
                      </w:sdtPr>
                      <w:sdtEndPr/>
                      <w:sdtContent>
                        <w:p w:rsidR="001052CC" w:rsidRPr="003C4368" w:rsidRDefault="001052CC" w:rsidP="00216B1B">
                          <w:pPr>
                            <w:pStyle w:val="Footer"/>
                            <w:jc w:val="center"/>
                            <w:rPr>
                              <w:color w:val="242423" w:themeColor="text1" w:themeShade="80"/>
                              <w:sz w:val="20"/>
                              <w:lang w:val="en-GB"/>
                            </w:rPr>
                          </w:pPr>
                          <w:r w:rsidRPr="003C4368">
                            <w:rPr>
                              <w:color w:val="242423" w:themeColor="text1" w:themeShade="80"/>
                              <w:sz w:val="20"/>
                              <w:lang w:val="en-GB"/>
                            </w:rPr>
                            <w:t xml:space="preserve">Toolkit developed for the European Commission by ICLEI - Local Governments for </w:t>
                          </w:r>
                          <w:r w:rsidRPr="00262366">
                            <w:rPr>
                              <w:color w:val="242423" w:themeColor="text1" w:themeShade="80"/>
                              <w:sz w:val="20"/>
                              <w:lang w:val="en-IE"/>
                            </w:rPr>
                            <w:t>Sustainability</w:t>
                          </w:r>
                        </w:p>
                        <w:p w:rsidR="001052CC" w:rsidRPr="003C4368" w:rsidRDefault="001052CC" w:rsidP="00216B1B">
                          <w:pPr>
                            <w:pStyle w:val="Footer"/>
                            <w:jc w:val="center"/>
                            <w:rPr>
                              <w:color w:val="242423" w:themeColor="text1" w:themeShade="80"/>
                              <w:sz w:val="20"/>
                              <w:lang w:val="en-GB"/>
                            </w:rPr>
                          </w:pPr>
                          <w:r w:rsidRPr="00262366">
                            <w:rPr>
                              <w:b/>
                              <w:bCs/>
                              <w:color w:val="242423" w:themeColor="text1" w:themeShade="80"/>
                              <w:sz w:val="20"/>
                              <w:lang w:val="en-IE"/>
                            </w:rPr>
                            <w:t xml:space="preserve">Owner, Editor: </w:t>
                          </w:r>
                          <w:r w:rsidRPr="00262366">
                            <w:rPr>
                              <w:color w:val="242423" w:themeColor="text1" w:themeShade="80"/>
                              <w:sz w:val="20"/>
                              <w:lang w:val="en-IE"/>
                            </w:rPr>
                            <w:t xml:space="preserve">European Commission, DG Environment, </w:t>
                          </w:r>
                          <w:r>
                            <w:rPr>
                              <w:color w:val="242423" w:themeColor="text1" w:themeShade="80"/>
                              <w:sz w:val="20"/>
                              <w:lang w:val="en-IE"/>
                            </w:rPr>
                            <w:t>2019</w:t>
                          </w:r>
                        </w:p>
                        <w:p w:rsidR="001052CC" w:rsidRPr="003C4368" w:rsidRDefault="001052CC" w:rsidP="00E50624">
                          <w:pPr>
                            <w:pStyle w:val="Footer"/>
                            <w:jc w:val="center"/>
                            <w:rPr>
                              <w:sz w:val="20"/>
                              <w:lang w:val="en-GB"/>
                            </w:rPr>
                          </w:pPr>
                          <w:r w:rsidRPr="003C4368">
                            <w:rPr>
                              <w:b/>
                              <w:bCs/>
                              <w:color w:val="242423" w:themeColor="text1" w:themeShade="80"/>
                              <w:sz w:val="20"/>
                              <w:lang w:val="en-GB"/>
                            </w:rPr>
                            <w:t xml:space="preserve">Disclaimer: </w:t>
                          </w:r>
                          <w:r w:rsidRPr="003C4368">
                            <w:rPr>
                              <w:color w:val="242423" w:themeColor="text1" w:themeShade="80"/>
                              <w:sz w:val="20"/>
                              <w:lang w:val="en-GB"/>
                            </w:rPr>
                            <w:t>This toolkit is an indicative document of the Commission services and cannot be considered binding to this institution in any way. Neither the European Commission nor any person acting</w:t>
                          </w:r>
                          <w:r w:rsidRPr="003C4368">
                            <w:rPr>
                              <w:sz w:val="20"/>
                              <w:lang w:val="en-GB"/>
                            </w:rPr>
                            <w:t xml:space="preserve"> on behalf of the Commission is responsible for the use that might be made of the information in this document.</w:t>
                          </w:r>
                        </w:p>
                      </w:sdtContent>
                    </w:sdt>
                    <w:p w:rsidR="001052CC" w:rsidRPr="003C4368" w:rsidRDefault="001052CC" w:rsidP="00216B1B">
                      <w:pPr>
                        <w:rPr>
                          <w:lang w:val="en-GB"/>
                        </w:rPr>
                      </w:pPr>
                    </w:p>
                  </w:txbxContent>
                </v:textbox>
                <w10:wrap type="square" anchorx="margin" anchory="margin"/>
              </v:rect>
            </w:pict>
          </mc:Fallback>
        </mc:AlternateContent>
      </w:r>
    </w:p>
    <w:sectPr w:rsidR="00D17BEC" w:rsidRPr="006E51E6" w:rsidSect="00B65597">
      <w:headerReference w:type="first" r:id="rId22"/>
      <w:pgSz w:w="11906" w:h="16838"/>
      <w:pgMar w:top="1417" w:right="1417" w:bottom="1134" w:left="1417" w:header="708" w:footer="117" w:gutter="0"/>
      <w:pgNumType w:chapStyle="1" w:chapSep="colon"/>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C2BBF" w:rsidRDefault="003C2BBF" w:rsidP="002C1264">
      <w:pPr>
        <w:spacing w:after="0" w:line="240" w:lineRule="auto"/>
      </w:pPr>
      <w:r>
        <w:separator/>
      </w:r>
    </w:p>
  </w:endnote>
  <w:endnote w:type="continuationSeparator" w:id="0">
    <w:p w:rsidR="003C2BBF" w:rsidRDefault="003C2BBF" w:rsidP="002C12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BoldMT">
    <w:altName w:val="Arial"/>
    <w:panose1 w:val="020B0604020202020204"/>
    <w:charset w:val="00"/>
    <w:family w:val="auto"/>
    <w:pitch w:val="variable"/>
    <w:sig w:usb0="00000001" w:usb1="00000000" w:usb2="00000000" w:usb3="00000000" w:csb0="0000009F" w:csb1="00000000"/>
  </w:font>
  <w:font w:name="MinionPro-Bold">
    <w:altName w:val="Arial"/>
    <w:panose1 w:val="020B0604020202020204"/>
    <w:charset w:val="4D"/>
    <w:family w:val="auto"/>
    <w:notTrueType/>
    <w:pitch w:val="default"/>
    <w:sig w:usb0="00000003" w:usb1="00000000" w:usb2="00000000" w:usb3="00000000" w:csb0="00000001" w:csb1="00000000"/>
  </w:font>
  <w:font w:name="ArialMT">
    <w:altName w:val="Arial"/>
    <w:panose1 w:val="020B0604020202020204"/>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eiryo UI">
    <w:panose1 w:val="020B0604030504040204"/>
    <w:charset w:val="80"/>
    <w:family w:val="swiss"/>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052CC" w:rsidRDefault="001052CC" w:rsidP="00F444D0">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052CC" w:rsidRPr="00F444D0" w:rsidRDefault="001052CC" w:rsidP="00F444D0">
    <w:pPr>
      <w:pStyle w:val="Footer"/>
    </w:pPr>
    <w:r>
      <w:rPr>
        <w:noProof/>
      </w:rPr>
      <w:drawing>
        <wp:anchor distT="0" distB="0" distL="114300" distR="114300" simplePos="0" relativeHeight="251658240" behindDoc="0" locked="0" layoutInCell="1" allowOverlap="1">
          <wp:simplePos x="0" y="0"/>
          <wp:positionH relativeFrom="column">
            <wp:posOffset>2462956</wp:posOffset>
          </wp:positionH>
          <wp:positionV relativeFrom="paragraph">
            <wp:posOffset>-306734</wp:posOffset>
          </wp:positionV>
          <wp:extent cx="717930" cy="545911"/>
          <wp:effectExtent l="19050" t="0" r="5970" b="0"/>
          <wp:wrapNone/>
          <wp:docPr id="12" name="Picture 3" descr="I:\A-Sustainable Economy and Procurement\Projects\GPP training and training materials - 24220\1 - GPP Toolkit\Design templates\footer ele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A-Sustainable Economy and Procurement\Projects\GPP training and training materials - 24220\1 - GPP Toolkit\Design templates\footer element.png"/>
                  <pic:cNvPicPr>
                    <a:picLocks noChangeAspect="1" noChangeArrowheads="1"/>
                  </pic:cNvPicPr>
                </pic:nvPicPr>
                <pic:blipFill>
                  <a:blip r:embed="rId1"/>
                  <a:srcRect/>
                  <a:stretch>
                    <a:fillRect/>
                  </a:stretch>
                </pic:blipFill>
                <pic:spPr bwMode="auto">
                  <a:xfrm>
                    <a:off x="0" y="0"/>
                    <a:ext cx="717930" cy="545911"/>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C2BBF" w:rsidRDefault="003C2BBF" w:rsidP="002C1264">
      <w:pPr>
        <w:spacing w:after="0" w:line="240" w:lineRule="auto"/>
      </w:pPr>
      <w:r>
        <w:separator/>
      </w:r>
    </w:p>
  </w:footnote>
  <w:footnote w:type="continuationSeparator" w:id="0">
    <w:p w:rsidR="003C2BBF" w:rsidRDefault="003C2BBF" w:rsidP="002C12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052CC" w:rsidRPr="007B0ACD" w:rsidRDefault="001052CC" w:rsidP="007B0ACD">
    <w:pPr>
      <w:pStyle w:val="Title"/>
      <w:pBdr>
        <w:bottom w:val="single" w:sz="4" w:space="1" w:color="auto"/>
      </w:pBdr>
      <w:rPr>
        <w:rFonts w:ascii="Meiryo UI" w:eastAsia="Meiryo UI" w:hAnsi="Meiryo UI" w:cs="Meiryo UI"/>
        <w:color w:val="auto"/>
        <w:sz w:val="36"/>
        <w:lang w:val="en-GB"/>
      </w:rPr>
    </w:pPr>
    <w:r w:rsidRPr="007B0ACD">
      <w:rPr>
        <w:rFonts w:ascii="Meiryo UI" w:eastAsia="Meiryo UI" w:hAnsi="Meiryo UI" w:cs="Meiryo UI"/>
        <w:color w:val="auto"/>
        <w:sz w:val="36"/>
        <w:lang w:val="en-GB"/>
      </w:rPr>
      <w:t>GPP Training toolkit - Module 6: Market Engagement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052CC" w:rsidRPr="008075D1" w:rsidRDefault="001052CC" w:rsidP="008075D1">
    <w:pPr>
      <w:pStyle w:val="Title"/>
      <w:pBdr>
        <w:bottom w:val="single" w:sz="4" w:space="1" w:color="auto"/>
      </w:pBdr>
      <w:rPr>
        <w:lang w:val="en-GB"/>
      </w:rPr>
    </w:pPr>
    <w:r w:rsidRPr="007B0ACD">
      <w:rPr>
        <w:rFonts w:ascii="Meiryo UI" w:eastAsia="Meiryo UI" w:hAnsi="Meiryo UI" w:cs="Meiryo UI"/>
        <w:color w:val="auto"/>
        <w:sz w:val="36"/>
        <w:lang w:val="en-GB"/>
      </w:rPr>
      <w:t>GPP Training toolkit - Module 6: Market Engagement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66855"/>
    <w:multiLevelType w:val="hybridMultilevel"/>
    <w:tmpl w:val="B7A24E6C"/>
    <w:lvl w:ilvl="0" w:tplc="56C2A57A">
      <w:start w:val="1"/>
      <w:numFmt w:val="bullet"/>
      <w:lvlText w:val=""/>
      <w:lvlJc w:val="left"/>
      <w:pPr>
        <w:ind w:left="360" w:hanging="360"/>
      </w:pPr>
      <w:rPr>
        <w:rFonts w:ascii="Symbol" w:hAnsi="Symbol" w:hint="default"/>
        <w:color w:val="1C665A" w:themeColor="accent1"/>
      </w:rPr>
    </w:lvl>
    <w:lvl w:ilvl="1" w:tplc="08090003" w:tentative="1">
      <w:start w:val="1"/>
      <w:numFmt w:val="bullet"/>
      <w:lvlText w:val="o"/>
      <w:lvlJc w:val="left"/>
      <w:pPr>
        <w:ind w:left="-1779" w:hanging="360"/>
      </w:pPr>
      <w:rPr>
        <w:rFonts w:ascii="Courier New" w:hAnsi="Courier New" w:cs="Courier New" w:hint="default"/>
      </w:rPr>
    </w:lvl>
    <w:lvl w:ilvl="2" w:tplc="08090005" w:tentative="1">
      <w:start w:val="1"/>
      <w:numFmt w:val="bullet"/>
      <w:lvlText w:val=""/>
      <w:lvlJc w:val="left"/>
      <w:pPr>
        <w:ind w:left="-1059" w:hanging="360"/>
      </w:pPr>
      <w:rPr>
        <w:rFonts w:ascii="Wingdings" w:hAnsi="Wingdings" w:hint="default"/>
      </w:rPr>
    </w:lvl>
    <w:lvl w:ilvl="3" w:tplc="08090001" w:tentative="1">
      <w:start w:val="1"/>
      <w:numFmt w:val="bullet"/>
      <w:lvlText w:val=""/>
      <w:lvlJc w:val="left"/>
      <w:pPr>
        <w:ind w:left="-339" w:hanging="360"/>
      </w:pPr>
      <w:rPr>
        <w:rFonts w:ascii="Symbol" w:hAnsi="Symbol" w:hint="default"/>
      </w:rPr>
    </w:lvl>
    <w:lvl w:ilvl="4" w:tplc="08090003" w:tentative="1">
      <w:start w:val="1"/>
      <w:numFmt w:val="bullet"/>
      <w:lvlText w:val="o"/>
      <w:lvlJc w:val="left"/>
      <w:pPr>
        <w:ind w:left="381" w:hanging="360"/>
      </w:pPr>
      <w:rPr>
        <w:rFonts w:ascii="Courier New" w:hAnsi="Courier New" w:cs="Courier New" w:hint="default"/>
      </w:rPr>
    </w:lvl>
    <w:lvl w:ilvl="5" w:tplc="08090005" w:tentative="1">
      <w:start w:val="1"/>
      <w:numFmt w:val="bullet"/>
      <w:lvlText w:val=""/>
      <w:lvlJc w:val="left"/>
      <w:pPr>
        <w:ind w:left="1101" w:hanging="360"/>
      </w:pPr>
      <w:rPr>
        <w:rFonts w:ascii="Wingdings" w:hAnsi="Wingdings" w:hint="default"/>
      </w:rPr>
    </w:lvl>
    <w:lvl w:ilvl="6" w:tplc="08090001" w:tentative="1">
      <w:start w:val="1"/>
      <w:numFmt w:val="bullet"/>
      <w:lvlText w:val=""/>
      <w:lvlJc w:val="left"/>
      <w:pPr>
        <w:ind w:left="1821" w:hanging="360"/>
      </w:pPr>
      <w:rPr>
        <w:rFonts w:ascii="Symbol" w:hAnsi="Symbol" w:hint="default"/>
      </w:rPr>
    </w:lvl>
    <w:lvl w:ilvl="7" w:tplc="08090003" w:tentative="1">
      <w:start w:val="1"/>
      <w:numFmt w:val="bullet"/>
      <w:lvlText w:val="o"/>
      <w:lvlJc w:val="left"/>
      <w:pPr>
        <w:ind w:left="2541" w:hanging="360"/>
      </w:pPr>
      <w:rPr>
        <w:rFonts w:ascii="Courier New" w:hAnsi="Courier New" w:cs="Courier New" w:hint="default"/>
      </w:rPr>
    </w:lvl>
    <w:lvl w:ilvl="8" w:tplc="08090005" w:tentative="1">
      <w:start w:val="1"/>
      <w:numFmt w:val="bullet"/>
      <w:lvlText w:val=""/>
      <w:lvlJc w:val="left"/>
      <w:pPr>
        <w:ind w:left="3261" w:hanging="360"/>
      </w:pPr>
      <w:rPr>
        <w:rFonts w:ascii="Wingdings" w:hAnsi="Wingdings" w:hint="default"/>
      </w:rPr>
    </w:lvl>
  </w:abstractNum>
  <w:abstractNum w:abstractNumId="1" w15:restartNumberingAfterBreak="0">
    <w:nsid w:val="183A0D5C"/>
    <w:multiLevelType w:val="hybridMultilevel"/>
    <w:tmpl w:val="5E0419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83D1B0E"/>
    <w:multiLevelType w:val="hybridMultilevel"/>
    <w:tmpl w:val="34FC06BE"/>
    <w:lvl w:ilvl="0" w:tplc="FA148232">
      <w:start w:val="1"/>
      <w:numFmt w:val="bullet"/>
      <w:pStyle w:val="C-AufzManahmen03"/>
      <w:lvlText w:val=""/>
      <w:lvlJc w:val="left"/>
      <w:pPr>
        <w:tabs>
          <w:tab w:val="num" w:pos="397"/>
        </w:tabs>
        <w:ind w:left="397" w:hanging="397"/>
      </w:pPr>
      <w:rPr>
        <w:rFonts w:ascii="Symbol" w:hAnsi="Symbol" w:hint="default"/>
        <w:b/>
        <w:bCs/>
        <w:i w:val="0"/>
        <w:iCs w:val="0"/>
        <w:color w:val="5AB7B4"/>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97223D"/>
    <w:multiLevelType w:val="hybridMultilevel"/>
    <w:tmpl w:val="863640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6CB03B3"/>
    <w:multiLevelType w:val="hybridMultilevel"/>
    <w:tmpl w:val="2E0CC9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CA27240"/>
    <w:multiLevelType w:val="hybridMultilevel"/>
    <w:tmpl w:val="97D2DC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DFB3331"/>
    <w:multiLevelType w:val="hybridMultilevel"/>
    <w:tmpl w:val="BBB48E84"/>
    <w:lvl w:ilvl="0" w:tplc="56C2A57A">
      <w:start w:val="1"/>
      <w:numFmt w:val="bullet"/>
      <w:lvlText w:val=""/>
      <w:lvlJc w:val="left"/>
      <w:pPr>
        <w:ind w:left="3579" w:hanging="360"/>
      </w:pPr>
      <w:rPr>
        <w:rFonts w:ascii="Symbol" w:hAnsi="Symbol" w:hint="default"/>
        <w:color w:val="1C665A" w:themeColor="accent1"/>
      </w:rPr>
    </w:lvl>
    <w:lvl w:ilvl="1" w:tplc="08090003" w:tentative="1">
      <w:start w:val="1"/>
      <w:numFmt w:val="bullet"/>
      <w:lvlText w:val="o"/>
      <w:lvlJc w:val="left"/>
      <w:pPr>
        <w:ind w:left="4299" w:hanging="360"/>
      </w:pPr>
      <w:rPr>
        <w:rFonts w:ascii="Courier New" w:hAnsi="Courier New" w:cs="Courier New" w:hint="default"/>
      </w:rPr>
    </w:lvl>
    <w:lvl w:ilvl="2" w:tplc="08090005" w:tentative="1">
      <w:start w:val="1"/>
      <w:numFmt w:val="bullet"/>
      <w:lvlText w:val=""/>
      <w:lvlJc w:val="left"/>
      <w:pPr>
        <w:ind w:left="5019" w:hanging="360"/>
      </w:pPr>
      <w:rPr>
        <w:rFonts w:ascii="Wingdings" w:hAnsi="Wingdings" w:hint="default"/>
      </w:rPr>
    </w:lvl>
    <w:lvl w:ilvl="3" w:tplc="08090001" w:tentative="1">
      <w:start w:val="1"/>
      <w:numFmt w:val="bullet"/>
      <w:lvlText w:val=""/>
      <w:lvlJc w:val="left"/>
      <w:pPr>
        <w:ind w:left="5739" w:hanging="360"/>
      </w:pPr>
      <w:rPr>
        <w:rFonts w:ascii="Symbol" w:hAnsi="Symbol" w:hint="default"/>
      </w:rPr>
    </w:lvl>
    <w:lvl w:ilvl="4" w:tplc="08090003" w:tentative="1">
      <w:start w:val="1"/>
      <w:numFmt w:val="bullet"/>
      <w:lvlText w:val="o"/>
      <w:lvlJc w:val="left"/>
      <w:pPr>
        <w:ind w:left="6459" w:hanging="360"/>
      </w:pPr>
      <w:rPr>
        <w:rFonts w:ascii="Courier New" w:hAnsi="Courier New" w:cs="Courier New" w:hint="default"/>
      </w:rPr>
    </w:lvl>
    <w:lvl w:ilvl="5" w:tplc="08090005" w:tentative="1">
      <w:start w:val="1"/>
      <w:numFmt w:val="bullet"/>
      <w:lvlText w:val=""/>
      <w:lvlJc w:val="left"/>
      <w:pPr>
        <w:ind w:left="7179" w:hanging="360"/>
      </w:pPr>
      <w:rPr>
        <w:rFonts w:ascii="Wingdings" w:hAnsi="Wingdings" w:hint="default"/>
      </w:rPr>
    </w:lvl>
    <w:lvl w:ilvl="6" w:tplc="08090001" w:tentative="1">
      <w:start w:val="1"/>
      <w:numFmt w:val="bullet"/>
      <w:lvlText w:val=""/>
      <w:lvlJc w:val="left"/>
      <w:pPr>
        <w:ind w:left="7899" w:hanging="360"/>
      </w:pPr>
      <w:rPr>
        <w:rFonts w:ascii="Symbol" w:hAnsi="Symbol" w:hint="default"/>
      </w:rPr>
    </w:lvl>
    <w:lvl w:ilvl="7" w:tplc="08090003" w:tentative="1">
      <w:start w:val="1"/>
      <w:numFmt w:val="bullet"/>
      <w:lvlText w:val="o"/>
      <w:lvlJc w:val="left"/>
      <w:pPr>
        <w:ind w:left="8619" w:hanging="360"/>
      </w:pPr>
      <w:rPr>
        <w:rFonts w:ascii="Courier New" w:hAnsi="Courier New" w:cs="Courier New" w:hint="default"/>
      </w:rPr>
    </w:lvl>
    <w:lvl w:ilvl="8" w:tplc="08090005" w:tentative="1">
      <w:start w:val="1"/>
      <w:numFmt w:val="bullet"/>
      <w:lvlText w:val=""/>
      <w:lvlJc w:val="left"/>
      <w:pPr>
        <w:ind w:left="9339" w:hanging="360"/>
      </w:pPr>
      <w:rPr>
        <w:rFonts w:ascii="Wingdings" w:hAnsi="Wingdings" w:hint="default"/>
      </w:rPr>
    </w:lvl>
  </w:abstractNum>
  <w:abstractNum w:abstractNumId="7" w15:restartNumberingAfterBreak="0">
    <w:nsid w:val="614F51CC"/>
    <w:multiLevelType w:val="singleLevel"/>
    <w:tmpl w:val="4D507192"/>
    <w:lvl w:ilvl="0">
      <w:start w:val="1"/>
      <w:numFmt w:val="bullet"/>
      <w:pStyle w:val="C-AufzhlungPunkt02"/>
      <w:lvlText w:val=""/>
      <w:lvlJc w:val="left"/>
      <w:pPr>
        <w:tabs>
          <w:tab w:val="num" w:pos="567"/>
        </w:tabs>
        <w:ind w:left="567" w:hanging="567"/>
      </w:pPr>
      <w:rPr>
        <w:rFonts w:ascii="Symbol" w:hAnsi="Symbol" w:hint="default"/>
        <w:b/>
        <w:bCs/>
        <w:i w:val="0"/>
        <w:iCs w:val="0"/>
        <w:color w:val="5AB7B4"/>
        <w:sz w:val="22"/>
        <w:szCs w:val="22"/>
      </w:rPr>
    </w:lvl>
  </w:abstractNum>
  <w:abstractNum w:abstractNumId="8" w15:restartNumberingAfterBreak="0">
    <w:nsid w:val="6297145E"/>
    <w:multiLevelType w:val="hybridMultilevel"/>
    <w:tmpl w:val="C226E0C4"/>
    <w:lvl w:ilvl="0" w:tplc="021059B8">
      <w:start w:val="1"/>
      <w:numFmt w:val="bullet"/>
      <w:pStyle w:val="ListParagraph"/>
      <w:lvlText w:val=""/>
      <w:lvlJc w:val="left"/>
      <w:pPr>
        <w:ind w:left="1068" w:hanging="360"/>
      </w:pPr>
      <w:rPr>
        <w:rFonts w:ascii="Symbol" w:hAnsi="Symbol" w:hint="default"/>
        <w:color w:val="1C665A" w:themeColor="accent1"/>
        <w:sz w:val="22"/>
      </w:rPr>
    </w:lvl>
    <w:lvl w:ilvl="1" w:tplc="08090003" w:tentative="1">
      <w:start w:val="1"/>
      <w:numFmt w:val="bullet"/>
      <w:lvlText w:val="o"/>
      <w:lvlJc w:val="left"/>
      <w:pPr>
        <w:ind w:left="-1071" w:hanging="360"/>
      </w:pPr>
      <w:rPr>
        <w:rFonts w:ascii="Courier New" w:hAnsi="Courier New" w:cs="Courier New" w:hint="default"/>
      </w:rPr>
    </w:lvl>
    <w:lvl w:ilvl="2" w:tplc="08090005" w:tentative="1">
      <w:start w:val="1"/>
      <w:numFmt w:val="bullet"/>
      <w:lvlText w:val=""/>
      <w:lvlJc w:val="left"/>
      <w:pPr>
        <w:ind w:left="-351" w:hanging="360"/>
      </w:pPr>
      <w:rPr>
        <w:rFonts w:ascii="Wingdings" w:hAnsi="Wingdings" w:hint="default"/>
      </w:rPr>
    </w:lvl>
    <w:lvl w:ilvl="3" w:tplc="08090001" w:tentative="1">
      <w:start w:val="1"/>
      <w:numFmt w:val="bullet"/>
      <w:lvlText w:val=""/>
      <w:lvlJc w:val="left"/>
      <w:pPr>
        <w:ind w:left="369" w:hanging="360"/>
      </w:pPr>
      <w:rPr>
        <w:rFonts w:ascii="Symbol" w:hAnsi="Symbol" w:hint="default"/>
      </w:rPr>
    </w:lvl>
    <w:lvl w:ilvl="4" w:tplc="08090003" w:tentative="1">
      <w:start w:val="1"/>
      <w:numFmt w:val="bullet"/>
      <w:lvlText w:val="o"/>
      <w:lvlJc w:val="left"/>
      <w:pPr>
        <w:ind w:left="1089" w:hanging="360"/>
      </w:pPr>
      <w:rPr>
        <w:rFonts w:ascii="Courier New" w:hAnsi="Courier New" w:cs="Courier New" w:hint="default"/>
      </w:rPr>
    </w:lvl>
    <w:lvl w:ilvl="5" w:tplc="08090005" w:tentative="1">
      <w:start w:val="1"/>
      <w:numFmt w:val="bullet"/>
      <w:lvlText w:val=""/>
      <w:lvlJc w:val="left"/>
      <w:pPr>
        <w:ind w:left="1809" w:hanging="360"/>
      </w:pPr>
      <w:rPr>
        <w:rFonts w:ascii="Wingdings" w:hAnsi="Wingdings" w:hint="default"/>
      </w:rPr>
    </w:lvl>
    <w:lvl w:ilvl="6" w:tplc="08090001" w:tentative="1">
      <w:start w:val="1"/>
      <w:numFmt w:val="bullet"/>
      <w:lvlText w:val=""/>
      <w:lvlJc w:val="left"/>
      <w:pPr>
        <w:ind w:left="2529" w:hanging="360"/>
      </w:pPr>
      <w:rPr>
        <w:rFonts w:ascii="Symbol" w:hAnsi="Symbol" w:hint="default"/>
      </w:rPr>
    </w:lvl>
    <w:lvl w:ilvl="7" w:tplc="08090003" w:tentative="1">
      <w:start w:val="1"/>
      <w:numFmt w:val="bullet"/>
      <w:lvlText w:val="o"/>
      <w:lvlJc w:val="left"/>
      <w:pPr>
        <w:ind w:left="3249" w:hanging="360"/>
      </w:pPr>
      <w:rPr>
        <w:rFonts w:ascii="Courier New" w:hAnsi="Courier New" w:cs="Courier New" w:hint="default"/>
      </w:rPr>
    </w:lvl>
    <w:lvl w:ilvl="8" w:tplc="08090005" w:tentative="1">
      <w:start w:val="1"/>
      <w:numFmt w:val="bullet"/>
      <w:lvlText w:val=""/>
      <w:lvlJc w:val="left"/>
      <w:pPr>
        <w:ind w:left="3969" w:hanging="360"/>
      </w:pPr>
      <w:rPr>
        <w:rFonts w:ascii="Wingdings" w:hAnsi="Wingdings" w:hint="default"/>
      </w:rPr>
    </w:lvl>
  </w:abstractNum>
  <w:abstractNum w:abstractNumId="9" w15:restartNumberingAfterBreak="0">
    <w:nsid w:val="70733FA1"/>
    <w:multiLevelType w:val="multilevel"/>
    <w:tmpl w:val="361074E4"/>
    <w:lvl w:ilvl="0">
      <w:start w:val="1"/>
      <w:numFmt w:val="decimal"/>
      <w:pStyle w:val="Index01"/>
      <w:lvlText w:val="%1."/>
      <w:lvlJc w:val="left"/>
      <w:pPr>
        <w:tabs>
          <w:tab w:val="num" w:pos="567"/>
        </w:tabs>
        <w:ind w:left="567" w:hanging="567"/>
      </w:pPr>
      <w:rPr>
        <w:rFonts w:ascii="Arial" w:hAnsi="Arial" w:hint="default"/>
        <w:b/>
        <w:bCs/>
        <w:i w:val="0"/>
        <w:iCs w:val="0"/>
        <w:color w:val="5FB278"/>
        <w:sz w:val="40"/>
        <w:szCs w:val="40"/>
      </w:rPr>
    </w:lvl>
    <w:lvl w:ilvl="1">
      <w:start w:val="1"/>
      <w:numFmt w:val="decimal"/>
      <w:pStyle w:val="Index02"/>
      <w:lvlText w:val="%1.%2."/>
      <w:lvlJc w:val="left"/>
      <w:pPr>
        <w:tabs>
          <w:tab w:val="num" w:pos="567"/>
        </w:tabs>
        <w:ind w:left="567" w:hanging="567"/>
      </w:pPr>
      <w:rPr>
        <w:rFonts w:ascii="Arial" w:hAnsi="Arial" w:hint="default"/>
        <w:b/>
        <w:bCs/>
        <w:i w:val="0"/>
        <w:iCs w:val="0"/>
        <w:color w:val="5AB7B4"/>
        <w:sz w:val="28"/>
        <w:szCs w:val="28"/>
      </w:rPr>
    </w:lvl>
    <w:lvl w:ilvl="2">
      <w:start w:val="1"/>
      <w:numFmt w:val="decimal"/>
      <w:pStyle w:val="C-Standardbold01"/>
      <w:lvlText w:val="%1.%2.%3."/>
      <w:lvlJc w:val="left"/>
      <w:pPr>
        <w:tabs>
          <w:tab w:val="num" w:pos="624"/>
        </w:tabs>
        <w:ind w:left="567" w:hanging="567"/>
      </w:pPr>
      <w:rPr>
        <w:rFonts w:ascii="Arial" w:hAnsi="Arial" w:hint="default"/>
        <w:b/>
        <w:bCs/>
        <w:i w:val="0"/>
        <w:iCs w:val="0"/>
        <w:color w:val="505150"/>
        <w:sz w:val="20"/>
        <w:szCs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765F67D2"/>
    <w:multiLevelType w:val="hybridMultilevel"/>
    <w:tmpl w:val="575E2D9E"/>
    <w:lvl w:ilvl="0" w:tplc="56C2A57A">
      <w:start w:val="1"/>
      <w:numFmt w:val="bullet"/>
      <w:lvlText w:val=""/>
      <w:lvlJc w:val="left"/>
      <w:pPr>
        <w:ind w:left="1068" w:hanging="360"/>
      </w:pPr>
      <w:rPr>
        <w:rFonts w:ascii="Symbol" w:hAnsi="Symbol" w:hint="default"/>
        <w:color w:val="1C665A" w:themeColor="accent1"/>
      </w:rPr>
    </w:lvl>
    <w:lvl w:ilvl="1" w:tplc="08090003" w:tentative="1">
      <w:start w:val="1"/>
      <w:numFmt w:val="bullet"/>
      <w:lvlText w:val="o"/>
      <w:lvlJc w:val="left"/>
      <w:pPr>
        <w:ind w:left="-1071" w:hanging="360"/>
      </w:pPr>
      <w:rPr>
        <w:rFonts w:ascii="Courier New" w:hAnsi="Courier New" w:cs="Courier New" w:hint="default"/>
      </w:rPr>
    </w:lvl>
    <w:lvl w:ilvl="2" w:tplc="08090005" w:tentative="1">
      <w:start w:val="1"/>
      <w:numFmt w:val="bullet"/>
      <w:lvlText w:val=""/>
      <w:lvlJc w:val="left"/>
      <w:pPr>
        <w:ind w:left="-351" w:hanging="360"/>
      </w:pPr>
      <w:rPr>
        <w:rFonts w:ascii="Wingdings" w:hAnsi="Wingdings" w:hint="default"/>
      </w:rPr>
    </w:lvl>
    <w:lvl w:ilvl="3" w:tplc="08090001" w:tentative="1">
      <w:start w:val="1"/>
      <w:numFmt w:val="bullet"/>
      <w:lvlText w:val=""/>
      <w:lvlJc w:val="left"/>
      <w:pPr>
        <w:ind w:left="369" w:hanging="360"/>
      </w:pPr>
      <w:rPr>
        <w:rFonts w:ascii="Symbol" w:hAnsi="Symbol" w:hint="default"/>
      </w:rPr>
    </w:lvl>
    <w:lvl w:ilvl="4" w:tplc="08090003" w:tentative="1">
      <w:start w:val="1"/>
      <w:numFmt w:val="bullet"/>
      <w:lvlText w:val="o"/>
      <w:lvlJc w:val="left"/>
      <w:pPr>
        <w:ind w:left="1089" w:hanging="360"/>
      </w:pPr>
      <w:rPr>
        <w:rFonts w:ascii="Courier New" w:hAnsi="Courier New" w:cs="Courier New" w:hint="default"/>
      </w:rPr>
    </w:lvl>
    <w:lvl w:ilvl="5" w:tplc="08090005" w:tentative="1">
      <w:start w:val="1"/>
      <w:numFmt w:val="bullet"/>
      <w:lvlText w:val=""/>
      <w:lvlJc w:val="left"/>
      <w:pPr>
        <w:ind w:left="1809" w:hanging="360"/>
      </w:pPr>
      <w:rPr>
        <w:rFonts w:ascii="Wingdings" w:hAnsi="Wingdings" w:hint="default"/>
      </w:rPr>
    </w:lvl>
    <w:lvl w:ilvl="6" w:tplc="08090001" w:tentative="1">
      <w:start w:val="1"/>
      <w:numFmt w:val="bullet"/>
      <w:lvlText w:val=""/>
      <w:lvlJc w:val="left"/>
      <w:pPr>
        <w:ind w:left="2529" w:hanging="360"/>
      </w:pPr>
      <w:rPr>
        <w:rFonts w:ascii="Symbol" w:hAnsi="Symbol" w:hint="default"/>
      </w:rPr>
    </w:lvl>
    <w:lvl w:ilvl="7" w:tplc="08090003" w:tentative="1">
      <w:start w:val="1"/>
      <w:numFmt w:val="bullet"/>
      <w:lvlText w:val="o"/>
      <w:lvlJc w:val="left"/>
      <w:pPr>
        <w:ind w:left="3249" w:hanging="360"/>
      </w:pPr>
      <w:rPr>
        <w:rFonts w:ascii="Courier New" w:hAnsi="Courier New" w:cs="Courier New" w:hint="default"/>
      </w:rPr>
    </w:lvl>
    <w:lvl w:ilvl="8" w:tplc="08090005" w:tentative="1">
      <w:start w:val="1"/>
      <w:numFmt w:val="bullet"/>
      <w:lvlText w:val=""/>
      <w:lvlJc w:val="left"/>
      <w:pPr>
        <w:ind w:left="3969" w:hanging="360"/>
      </w:pPr>
      <w:rPr>
        <w:rFonts w:ascii="Wingdings" w:hAnsi="Wingdings" w:hint="default"/>
      </w:rPr>
    </w:lvl>
  </w:abstractNum>
  <w:abstractNum w:abstractNumId="11" w15:restartNumberingAfterBreak="0">
    <w:nsid w:val="778170BF"/>
    <w:multiLevelType w:val="hybridMultilevel"/>
    <w:tmpl w:val="4A367A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2"/>
  </w:num>
  <w:num w:numId="4">
    <w:abstractNumId w:val="9"/>
  </w:num>
  <w:num w:numId="5">
    <w:abstractNumId w:val="9"/>
  </w:num>
  <w:num w:numId="6">
    <w:abstractNumId w:val="9"/>
  </w:num>
  <w:num w:numId="7">
    <w:abstractNumId w:val="7"/>
  </w:num>
  <w:num w:numId="8">
    <w:abstractNumId w:val="2"/>
  </w:num>
  <w:num w:numId="9">
    <w:abstractNumId w:val="9"/>
  </w:num>
  <w:num w:numId="10">
    <w:abstractNumId w:val="9"/>
  </w:num>
  <w:num w:numId="11">
    <w:abstractNumId w:val="6"/>
  </w:num>
  <w:num w:numId="12">
    <w:abstractNumId w:val="0"/>
  </w:num>
  <w:num w:numId="13">
    <w:abstractNumId w:val="10"/>
  </w:num>
  <w:num w:numId="14">
    <w:abstractNumId w:val="8"/>
  </w:num>
  <w:num w:numId="15">
    <w:abstractNumId w:val="4"/>
  </w:num>
  <w:num w:numId="16">
    <w:abstractNumId w:val="5"/>
  </w:num>
  <w:num w:numId="17">
    <w:abstractNumId w:val="1"/>
  </w:num>
  <w:num w:numId="18">
    <w:abstractNumId w:val="3"/>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1"/>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LC0NDM0MzExNrI0tDBW0lEKTi0uzszPAykwrAUALqxu5SwAAAA="/>
    <w:docVar w:name="LW_DocType" w:val="NORMAL"/>
  </w:docVars>
  <w:rsids>
    <w:rsidRoot w:val="00FB0D95"/>
    <w:rsid w:val="00002DF6"/>
    <w:rsid w:val="00017FD8"/>
    <w:rsid w:val="00024404"/>
    <w:rsid w:val="00060FDB"/>
    <w:rsid w:val="000A3414"/>
    <w:rsid w:val="000B5F2D"/>
    <w:rsid w:val="000C6676"/>
    <w:rsid w:val="000D3869"/>
    <w:rsid w:val="000E61B8"/>
    <w:rsid w:val="000F1D01"/>
    <w:rsid w:val="001052CC"/>
    <w:rsid w:val="00120DD8"/>
    <w:rsid w:val="001419BD"/>
    <w:rsid w:val="00177555"/>
    <w:rsid w:val="00187EBF"/>
    <w:rsid w:val="001A0E86"/>
    <w:rsid w:val="001C027E"/>
    <w:rsid w:val="00215EED"/>
    <w:rsid w:val="00216B1B"/>
    <w:rsid w:val="0022157B"/>
    <w:rsid w:val="002246DE"/>
    <w:rsid w:val="0023079F"/>
    <w:rsid w:val="002318A4"/>
    <w:rsid w:val="00242669"/>
    <w:rsid w:val="002512DC"/>
    <w:rsid w:val="00257D21"/>
    <w:rsid w:val="00262366"/>
    <w:rsid w:val="002628E9"/>
    <w:rsid w:val="00283D33"/>
    <w:rsid w:val="00292F97"/>
    <w:rsid w:val="002A1517"/>
    <w:rsid w:val="002C1264"/>
    <w:rsid w:val="002D0066"/>
    <w:rsid w:val="002D64B2"/>
    <w:rsid w:val="002E3C81"/>
    <w:rsid w:val="002E472D"/>
    <w:rsid w:val="002E64A1"/>
    <w:rsid w:val="002F313D"/>
    <w:rsid w:val="00364462"/>
    <w:rsid w:val="003675D0"/>
    <w:rsid w:val="00377204"/>
    <w:rsid w:val="003C2BBF"/>
    <w:rsid w:val="003C4368"/>
    <w:rsid w:val="003D73BB"/>
    <w:rsid w:val="003F227E"/>
    <w:rsid w:val="003F4C90"/>
    <w:rsid w:val="003F5EB3"/>
    <w:rsid w:val="003F760F"/>
    <w:rsid w:val="004116BD"/>
    <w:rsid w:val="00415D03"/>
    <w:rsid w:val="004453E5"/>
    <w:rsid w:val="00446494"/>
    <w:rsid w:val="004A03FD"/>
    <w:rsid w:val="004A29DF"/>
    <w:rsid w:val="004A4CB0"/>
    <w:rsid w:val="004E75D8"/>
    <w:rsid w:val="00501FEA"/>
    <w:rsid w:val="0050574B"/>
    <w:rsid w:val="00512247"/>
    <w:rsid w:val="00512710"/>
    <w:rsid w:val="0054120F"/>
    <w:rsid w:val="0054797C"/>
    <w:rsid w:val="00581731"/>
    <w:rsid w:val="005C0DD4"/>
    <w:rsid w:val="0065210E"/>
    <w:rsid w:val="00656F76"/>
    <w:rsid w:val="006656D3"/>
    <w:rsid w:val="00691C0B"/>
    <w:rsid w:val="006A44FC"/>
    <w:rsid w:val="006B6A59"/>
    <w:rsid w:val="006C05A0"/>
    <w:rsid w:val="006E51E6"/>
    <w:rsid w:val="006F6EA3"/>
    <w:rsid w:val="007012B1"/>
    <w:rsid w:val="00702733"/>
    <w:rsid w:val="0074228E"/>
    <w:rsid w:val="007459D7"/>
    <w:rsid w:val="00780E72"/>
    <w:rsid w:val="007B0ACD"/>
    <w:rsid w:val="007D6405"/>
    <w:rsid w:val="008075D1"/>
    <w:rsid w:val="00825DEA"/>
    <w:rsid w:val="00842FB6"/>
    <w:rsid w:val="008440BB"/>
    <w:rsid w:val="00857563"/>
    <w:rsid w:val="008969AF"/>
    <w:rsid w:val="008A6457"/>
    <w:rsid w:val="008A6E99"/>
    <w:rsid w:val="008F7C6E"/>
    <w:rsid w:val="009003E4"/>
    <w:rsid w:val="00913127"/>
    <w:rsid w:val="00917D55"/>
    <w:rsid w:val="00920F42"/>
    <w:rsid w:val="0092631B"/>
    <w:rsid w:val="00944822"/>
    <w:rsid w:val="009659B3"/>
    <w:rsid w:val="00985298"/>
    <w:rsid w:val="009F0974"/>
    <w:rsid w:val="009F3B3C"/>
    <w:rsid w:val="00A25976"/>
    <w:rsid w:val="00A34080"/>
    <w:rsid w:val="00A34B6D"/>
    <w:rsid w:val="00A5252C"/>
    <w:rsid w:val="00A648EF"/>
    <w:rsid w:val="00A67B1E"/>
    <w:rsid w:val="00A76CDF"/>
    <w:rsid w:val="00A96FAF"/>
    <w:rsid w:val="00AA2288"/>
    <w:rsid w:val="00AB6FC7"/>
    <w:rsid w:val="00AC1C38"/>
    <w:rsid w:val="00AC7E3E"/>
    <w:rsid w:val="00AE6793"/>
    <w:rsid w:val="00B140F3"/>
    <w:rsid w:val="00B627E3"/>
    <w:rsid w:val="00B65597"/>
    <w:rsid w:val="00B83184"/>
    <w:rsid w:val="00B85044"/>
    <w:rsid w:val="00BC08B1"/>
    <w:rsid w:val="00BD3A5B"/>
    <w:rsid w:val="00BD42AF"/>
    <w:rsid w:val="00BE386D"/>
    <w:rsid w:val="00C06711"/>
    <w:rsid w:val="00C31018"/>
    <w:rsid w:val="00C40716"/>
    <w:rsid w:val="00C5184A"/>
    <w:rsid w:val="00C6012A"/>
    <w:rsid w:val="00C61D79"/>
    <w:rsid w:val="00CF301B"/>
    <w:rsid w:val="00CF7B55"/>
    <w:rsid w:val="00D078F8"/>
    <w:rsid w:val="00D17BEC"/>
    <w:rsid w:val="00D53DDB"/>
    <w:rsid w:val="00D5580C"/>
    <w:rsid w:val="00DA7ED6"/>
    <w:rsid w:val="00DC56F7"/>
    <w:rsid w:val="00DC7E6A"/>
    <w:rsid w:val="00DD3CF2"/>
    <w:rsid w:val="00E01881"/>
    <w:rsid w:val="00E102AB"/>
    <w:rsid w:val="00E138FD"/>
    <w:rsid w:val="00E2168F"/>
    <w:rsid w:val="00E2725C"/>
    <w:rsid w:val="00E30009"/>
    <w:rsid w:val="00E43202"/>
    <w:rsid w:val="00E50624"/>
    <w:rsid w:val="00E75147"/>
    <w:rsid w:val="00E76D2B"/>
    <w:rsid w:val="00ED47C4"/>
    <w:rsid w:val="00F418BB"/>
    <w:rsid w:val="00F444D0"/>
    <w:rsid w:val="00F93526"/>
    <w:rsid w:val="00FB0D95"/>
    <w:rsid w:val="00FD6C0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53D84B9-91AE-A545-8E13-059963916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RESIGN_TITEL_HEAD"/>
    <w:basedOn w:val="Normal"/>
    <w:next w:val="Normal"/>
    <w:link w:val="Heading1Char"/>
    <w:uiPriority w:val="9"/>
    <w:qFormat/>
    <w:rsid w:val="00D17BEC"/>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aliases w:val="RESIN_TITELSITE_COPY"/>
    <w:basedOn w:val="Normal"/>
    <w:next w:val="Normal"/>
    <w:link w:val="Heading2Char"/>
    <w:uiPriority w:val="9"/>
    <w:unhideWhenUsed/>
    <w:qFormat/>
    <w:rsid w:val="00D17BEC"/>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D17BEC"/>
    <w:pPr>
      <w:spacing w:before="200" w:after="0" w:line="271" w:lineRule="auto"/>
      <w:outlineLvl w:val="2"/>
    </w:pPr>
    <w:rPr>
      <w:rFonts w:asciiTheme="majorHAnsi" w:eastAsiaTheme="majorEastAsia" w:hAnsiTheme="majorHAnsi" w:cstheme="majorBidi"/>
      <w:b/>
      <w:bCs/>
    </w:rPr>
  </w:style>
  <w:style w:type="paragraph" w:styleId="Heading4">
    <w:name w:val="heading 4"/>
    <w:aliases w:val="Copytext"/>
    <w:basedOn w:val="Normal"/>
    <w:next w:val="Normal"/>
    <w:link w:val="Heading4Char"/>
    <w:uiPriority w:val="9"/>
    <w:unhideWhenUsed/>
    <w:qFormat/>
    <w:rsid w:val="00D17BEC"/>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D17BEC"/>
    <w:pPr>
      <w:spacing w:before="200" w:after="0"/>
      <w:outlineLvl w:val="4"/>
    </w:pPr>
    <w:rPr>
      <w:rFonts w:asciiTheme="majorHAnsi" w:eastAsiaTheme="majorEastAsia" w:hAnsiTheme="majorHAnsi" w:cstheme="majorBidi"/>
      <w:b/>
      <w:bCs/>
      <w:color w:val="A3A3A2" w:themeColor="text1" w:themeTint="80"/>
    </w:rPr>
  </w:style>
  <w:style w:type="paragraph" w:styleId="Heading6">
    <w:name w:val="heading 6"/>
    <w:basedOn w:val="Normal"/>
    <w:next w:val="Normal"/>
    <w:link w:val="Heading6Char"/>
    <w:uiPriority w:val="9"/>
    <w:semiHidden/>
    <w:unhideWhenUsed/>
    <w:qFormat/>
    <w:rsid w:val="00D17BEC"/>
    <w:pPr>
      <w:spacing w:after="0" w:line="271" w:lineRule="auto"/>
      <w:outlineLvl w:val="5"/>
    </w:pPr>
    <w:rPr>
      <w:rFonts w:asciiTheme="majorHAnsi" w:eastAsiaTheme="majorEastAsia" w:hAnsiTheme="majorHAnsi" w:cstheme="majorBidi"/>
      <w:b/>
      <w:bCs/>
      <w:i/>
      <w:iCs/>
      <w:color w:val="A3A3A2" w:themeColor="text1" w:themeTint="80"/>
    </w:rPr>
  </w:style>
  <w:style w:type="paragraph" w:styleId="Heading7">
    <w:name w:val="heading 7"/>
    <w:basedOn w:val="Normal"/>
    <w:next w:val="Normal"/>
    <w:link w:val="Heading7Char"/>
    <w:uiPriority w:val="9"/>
    <w:semiHidden/>
    <w:unhideWhenUsed/>
    <w:qFormat/>
    <w:rsid w:val="00D17BEC"/>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D17BEC"/>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D17BEC"/>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RESIGN_TITEL_HEAD Char"/>
    <w:basedOn w:val="DefaultParagraphFont"/>
    <w:link w:val="Heading1"/>
    <w:uiPriority w:val="9"/>
    <w:rsid w:val="00D17BEC"/>
    <w:rPr>
      <w:rFonts w:asciiTheme="majorHAnsi" w:eastAsiaTheme="majorEastAsia" w:hAnsiTheme="majorHAnsi" w:cstheme="majorBidi"/>
      <w:b/>
      <w:bCs/>
      <w:sz w:val="28"/>
      <w:szCs w:val="28"/>
    </w:rPr>
  </w:style>
  <w:style w:type="paragraph" w:styleId="NoSpacing">
    <w:name w:val="No Spacing"/>
    <w:basedOn w:val="Normal"/>
    <w:uiPriority w:val="1"/>
    <w:qFormat/>
    <w:rsid w:val="00D17BEC"/>
    <w:pPr>
      <w:spacing w:after="0" w:line="240" w:lineRule="auto"/>
    </w:pPr>
  </w:style>
  <w:style w:type="character" w:customStyle="1" w:styleId="Heading2Char">
    <w:name w:val="Heading 2 Char"/>
    <w:aliases w:val="RESIN_TITELSITE_COPY Char"/>
    <w:basedOn w:val="DefaultParagraphFont"/>
    <w:link w:val="Heading2"/>
    <w:uiPriority w:val="9"/>
    <w:rsid w:val="00D17BEC"/>
    <w:rPr>
      <w:rFonts w:asciiTheme="majorHAnsi" w:eastAsiaTheme="majorEastAsia" w:hAnsiTheme="majorHAnsi" w:cstheme="majorBidi"/>
      <w:b/>
      <w:bCs/>
      <w:sz w:val="26"/>
      <w:szCs w:val="26"/>
    </w:rPr>
  </w:style>
  <w:style w:type="character" w:customStyle="1" w:styleId="Heading4Char">
    <w:name w:val="Heading 4 Char"/>
    <w:aliases w:val="Copytext Char"/>
    <w:basedOn w:val="DefaultParagraphFont"/>
    <w:link w:val="Heading4"/>
    <w:uiPriority w:val="9"/>
    <w:rsid w:val="00D17BEC"/>
    <w:rPr>
      <w:rFonts w:asciiTheme="majorHAnsi" w:eastAsiaTheme="majorEastAsia" w:hAnsiTheme="majorHAnsi" w:cstheme="majorBidi"/>
      <w:b/>
      <w:bCs/>
      <w:i/>
      <w:iCs/>
    </w:rPr>
  </w:style>
  <w:style w:type="paragraph" w:styleId="TOC1">
    <w:name w:val="toc 1"/>
    <w:basedOn w:val="Normal"/>
    <w:next w:val="Normal"/>
    <w:autoRedefine/>
    <w:uiPriority w:val="39"/>
    <w:unhideWhenUsed/>
    <w:rsid w:val="00A67B1E"/>
    <w:pPr>
      <w:tabs>
        <w:tab w:val="left" w:pos="284"/>
        <w:tab w:val="right" w:leader="dot" w:pos="7938"/>
      </w:tabs>
      <w:spacing w:before="240" w:after="240"/>
    </w:pPr>
    <w:rPr>
      <w:rFonts w:ascii="Arial" w:hAnsi="Arial"/>
      <w:b/>
      <w:bCs/>
      <w:noProof/>
      <w:color w:val="5FB278"/>
      <w:sz w:val="32"/>
      <w:szCs w:val="32"/>
    </w:rPr>
  </w:style>
  <w:style w:type="paragraph" w:customStyle="1" w:styleId="TabellenHeadings">
    <w:name w:val="Tabellen_Headings"/>
    <w:basedOn w:val="Normal"/>
    <w:autoRedefine/>
    <w:rsid w:val="00A67B1E"/>
    <w:pPr>
      <w:spacing w:after="120"/>
    </w:pPr>
    <w:rPr>
      <w:rFonts w:ascii="Arial" w:eastAsia="Times New Roman" w:hAnsi="Arial"/>
      <w:b/>
      <w:snapToGrid w:val="0"/>
      <w:color w:val="3C3C3B"/>
      <w:kern w:val="8"/>
      <w:sz w:val="18"/>
      <w:szCs w:val="18"/>
    </w:rPr>
  </w:style>
  <w:style w:type="paragraph" w:customStyle="1" w:styleId="TabelleInput">
    <w:name w:val="Tabelle_Input"/>
    <w:basedOn w:val="TabellenHeadings"/>
    <w:rsid w:val="00A67B1E"/>
    <w:rPr>
      <w:b w:val="0"/>
    </w:rPr>
  </w:style>
  <w:style w:type="character" w:customStyle="1" w:styleId="BHeadlineContact">
    <w:name w:val="B_Headline_Contact"/>
    <w:uiPriority w:val="1"/>
    <w:rsid w:val="00A67B1E"/>
    <w:rPr>
      <w:rFonts w:ascii="Arial" w:hAnsi="Arial" w:cs="Arial-BoldMT"/>
      <w:b/>
      <w:bCs/>
      <w:color w:val="60B169"/>
      <w:sz w:val="24"/>
    </w:rPr>
  </w:style>
  <w:style w:type="paragraph" w:customStyle="1" w:styleId="B-Headline01">
    <w:name w:val="B-Headline_01"/>
    <w:basedOn w:val="Normal"/>
    <w:autoRedefine/>
    <w:qFormat/>
    <w:rsid w:val="002318A4"/>
    <w:pPr>
      <w:tabs>
        <w:tab w:val="left" w:pos="567"/>
        <w:tab w:val="left" w:pos="709"/>
        <w:tab w:val="left" w:pos="851"/>
        <w:tab w:val="left" w:pos="1000"/>
        <w:tab w:val="right" w:leader="dot" w:pos="7938"/>
      </w:tabs>
      <w:spacing w:before="240" w:after="240" w:line="240" w:lineRule="auto"/>
    </w:pPr>
    <w:rPr>
      <w:rFonts w:cs="MinionPro-Bold"/>
      <w:b/>
      <w:bCs/>
      <w:noProof/>
      <w:color w:val="008A88" w:themeColor="text2"/>
      <w:sz w:val="40"/>
      <w:szCs w:val="28"/>
      <w:lang w:val="fr-FR"/>
    </w:rPr>
  </w:style>
  <w:style w:type="paragraph" w:customStyle="1" w:styleId="B-Leadtext01">
    <w:name w:val="B-Lead_text_01"/>
    <w:basedOn w:val="Normal"/>
    <w:rsid w:val="00A67B1E"/>
    <w:pPr>
      <w:widowControl w:val="0"/>
      <w:autoSpaceDE w:val="0"/>
      <w:autoSpaceDN w:val="0"/>
      <w:adjustRightInd w:val="0"/>
      <w:spacing w:line="288" w:lineRule="auto"/>
      <w:textAlignment w:val="center"/>
    </w:pPr>
    <w:rPr>
      <w:rFonts w:ascii="Arial" w:hAnsi="Arial" w:cs="ArialMT"/>
      <w:color w:val="60B169"/>
    </w:rPr>
  </w:style>
  <w:style w:type="paragraph" w:customStyle="1" w:styleId="B-Headline02">
    <w:name w:val="B-Headline_02"/>
    <w:basedOn w:val="Normal"/>
    <w:qFormat/>
    <w:rsid w:val="00780E72"/>
    <w:pPr>
      <w:widowControl w:val="0"/>
      <w:autoSpaceDE w:val="0"/>
      <w:autoSpaceDN w:val="0"/>
      <w:adjustRightInd w:val="0"/>
      <w:spacing w:line="288" w:lineRule="auto"/>
      <w:textAlignment w:val="center"/>
    </w:pPr>
    <w:rPr>
      <w:rFonts w:cs="Arial-BoldMT"/>
      <w:b/>
      <w:bCs/>
      <w:color w:val="1C665A" w:themeColor="accent1"/>
      <w:sz w:val="32"/>
      <w:szCs w:val="28"/>
    </w:rPr>
  </w:style>
  <w:style w:type="paragraph" w:customStyle="1" w:styleId="B-Headlinetext02">
    <w:name w:val="B-Headline_text_02"/>
    <w:basedOn w:val="Normal"/>
    <w:rsid w:val="00A67B1E"/>
    <w:pPr>
      <w:widowControl w:val="0"/>
      <w:autoSpaceDE w:val="0"/>
      <w:autoSpaceDN w:val="0"/>
      <w:adjustRightInd w:val="0"/>
      <w:spacing w:line="288" w:lineRule="auto"/>
      <w:textAlignment w:val="center"/>
    </w:pPr>
    <w:rPr>
      <w:rFonts w:ascii="Arial" w:hAnsi="Arial" w:cs="Arial-BoldMT"/>
      <w:b/>
      <w:bCs/>
      <w:noProof/>
      <w:color w:val="5AB7B4"/>
      <w:lang w:val="it-IT"/>
    </w:rPr>
  </w:style>
  <w:style w:type="paragraph" w:customStyle="1" w:styleId="C-Standardbold01">
    <w:name w:val="C-Standard_bold_01"/>
    <w:basedOn w:val="Normal"/>
    <w:rsid w:val="00A67B1E"/>
    <w:pPr>
      <w:widowControl w:val="0"/>
      <w:numPr>
        <w:ilvl w:val="2"/>
        <w:numId w:val="10"/>
      </w:numPr>
      <w:autoSpaceDE w:val="0"/>
      <w:autoSpaceDN w:val="0"/>
      <w:adjustRightInd w:val="0"/>
      <w:spacing w:line="288" w:lineRule="auto"/>
      <w:textAlignment w:val="center"/>
    </w:pPr>
    <w:rPr>
      <w:rFonts w:ascii="Arial" w:hAnsi="Arial" w:cs="Arial-BoldMT"/>
      <w:b/>
      <w:bCs/>
      <w:color w:val="3C3C3B"/>
    </w:rPr>
  </w:style>
  <w:style w:type="paragraph" w:customStyle="1" w:styleId="C-Standardtext">
    <w:name w:val="C-Standard_text"/>
    <w:basedOn w:val="Normal"/>
    <w:rsid w:val="00A67B1E"/>
    <w:pPr>
      <w:widowControl w:val="0"/>
      <w:autoSpaceDE w:val="0"/>
      <w:autoSpaceDN w:val="0"/>
      <w:adjustRightInd w:val="0"/>
      <w:spacing w:line="288" w:lineRule="auto"/>
      <w:textAlignment w:val="center"/>
    </w:pPr>
    <w:rPr>
      <w:rFonts w:ascii="Arial" w:hAnsi="Arial" w:cs="Arial-BoldMT"/>
      <w:bCs/>
      <w:color w:val="3C3C3B"/>
    </w:rPr>
  </w:style>
  <w:style w:type="paragraph" w:customStyle="1" w:styleId="C-AufzhlungPunkt02">
    <w:name w:val="C-Aufzählung_Punkt_02"/>
    <w:basedOn w:val="Normal"/>
    <w:autoRedefine/>
    <w:rsid w:val="00A67B1E"/>
    <w:pPr>
      <w:numPr>
        <w:numId w:val="7"/>
      </w:numPr>
      <w:spacing w:after="120" w:line="240" w:lineRule="exact"/>
    </w:pPr>
    <w:rPr>
      <w:rFonts w:ascii="Arial" w:eastAsia="Times New Roman" w:hAnsi="Arial"/>
      <w:color w:val="3C3C3B"/>
      <w:kern w:val="8"/>
    </w:rPr>
  </w:style>
  <w:style w:type="paragraph" w:customStyle="1" w:styleId="C-AufzManahmen03">
    <w:name w:val="C-Aufz_Maßnahmen_03"/>
    <w:basedOn w:val="Normal"/>
    <w:autoRedefine/>
    <w:rsid w:val="00A67B1E"/>
    <w:pPr>
      <w:numPr>
        <w:numId w:val="8"/>
      </w:numPr>
      <w:spacing w:after="120" w:line="240" w:lineRule="exact"/>
      <w:jc w:val="both"/>
    </w:pPr>
    <w:rPr>
      <w:rFonts w:ascii="Arial" w:eastAsia="SimSun" w:hAnsi="Arial"/>
      <w:color w:val="3C3C3B"/>
      <w:lang w:eastAsia="zh-CN"/>
    </w:rPr>
  </w:style>
  <w:style w:type="paragraph" w:customStyle="1" w:styleId="C-AufzhlungNummer01">
    <w:name w:val="C-Aufzählung_Nummer_01"/>
    <w:autoRedefine/>
    <w:rsid w:val="00A67B1E"/>
    <w:pPr>
      <w:spacing w:after="120" w:line="240" w:lineRule="exact"/>
    </w:pPr>
    <w:rPr>
      <w:rFonts w:ascii="Arial" w:eastAsia="Times New Roman" w:hAnsi="Arial"/>
      <w:noProof/>
      <w:color w:val="3C3C3B"/>
    </w:rPr>
  </w:style>
  <w:style w:type="paragraph" w:customStyle="1" w:styleId="D-TabellenHeadings-03">
    <w:name w:val="D-Tabellen_Headings-03"/>
    <w:basedOn w:val="Normal"/>
    <w:autoRedefine/>
    <w:rsid w:val="00A67B1E"/>
    <w:pPr>
      <w:spacing w:after="120" w:line="240" w:lineRule="exact"/>
      <w:jc w:val="both"/>
    </w:pPr>
    <w:rPr>
      <w:rFonts w:ascii="Arial" w:eastAsia="Times New Roman" w:hAnsi="Arial"/>
      <w:snapToGrid w:val="0"/>
      <w:color w:val="00708F"/>
      <w:kern w:val="8"/>
      <w:sz w:val="18"/>
      <w:szCs w:val="18"/>
    </w:rPr>
  </w:style>
  <w:style w:type="paragraph" w:customStyle="1" w:styleId="Index01">
    <w:name w:val="Index_01"/>
    <w:next w:val="Index02"/>
    <w:autoRedefine/>
    <w:rsid w:val="00A67B1E"/>
    <w:pPr>
      <w:numPr>
        <w:numId w:val="10"/>
      </w:numPr>
      <w:tabs>
        <w:tab w:val="left" w:pos="426"/>
      </w:tabs>
      <w:spacing w:after="240"/>
    </w:pPr>
    <w:rPr>
      <w:rFonts w:ascii="Arial" w:hAnsi="Arial" w:cs="Arial-BoldMT"/>
      <w:b/>
      <w:bCs/>
      <w:color w:val="5FB278"/>
      <w:sz w:val="40"/>
      <w:szCs w:val="40"/>
    </w:rPr>
  </w:style>
  <w:style w:type="paragraph" w:customStyle="1" w:styleId="Index02">
    <w:name w:val="Index_02"/>
    <w:rsid w:val="00A67B1E"/>
    <w:pPr>
      <w:numPr>
        <w:ilvl w:val="1"/>
        <w:numId w:val="10"/>
      </w:numPr>
      <w:spacing w:after="240"/>
    </w:pPr>
    <w:rPr>
      <w:rFonts w:ascii="Arial" w:hAnsi="Arial" w:cs="Arial-BoldMT"/>
      <w:b/>
      <w:bCs/>
      <w:color w:val="2EAEDA"/>
      <w:sz w:val="28"/>
      <w:szCs w:val="28"/>
    </w:rPr>
  </w:style>
  <w:style w:type="paragraph" w:customStyle="1" w:styleId="Index">
    <w:name w:val="Index"/>
    <w:autoRedefine/>
    <w:rsid w:val="00A67B1E"/>
    <w:pPr>
      <w:tabs>
        <w:tab w:val="left" w:pos="407"/>
        <w:tab w:val="right" w:leader="dot" w:pos="8261"/>
      </w:tabs>
      <w:spacing w:line="360" w:lineRule="auto"/>
    </w:pPr>
    <w:rPr>
      <w:rFonts w:ascii="Arial" w:hAnsi="Arial"/>
      <w:b/>
      <w:bCs/>
      <w:color w:val="60B169"/>
      <w:sz w:val="32"/>
    </w:rPr>
  </w:style>
  <w:style w:type="paragraph" w:customStyle="1" w:styleId="Ruggedisedstyle">
    <w:name w:val="Ruggedised style"/>
    <w:basedOn w:val="Heading1"/>
    <w:link w:val="RuggedisedstyleChar"/>
    <w:rsid w:val="00A67B1E"/>
    <w:rPr>
      <w:color w:val="FFFFFF" w:themeColor="background1"/>
    </w:rPr>
  </w:style>
  <w:style w:type="character" w:customStyle="1" w:styleId="RuggedisedstyleChar">
    <w:name w:val="Ruggedised style Char"/>
    <w:basedOn w:val="Heading1Char"/>
    <w:link w:val="Ruggedisedstyle"/>
    <w:rsid w:val="00A67B1E"/>
    <w:rPr>
      <w:rFonts w:asciiTheme="majorHAnsi" w:eastAsiaTheme="majorEastAsia" w:hAnsiTheme="majorHAnsi" w:cstheme="majorBidi"/>
      <w:b/>
      <w:bCs/>
      <w:color w:val="FFFFFF" w:themeColor="background1"/>
      <w:sz w:val="28"/>
      <w:szCs w:val="28"/>
      <w:lang w:val="en-US"/>
    </w:rPr>
  </w:style>
  <w:style w:type="paragraph" w:customStyle="1" w:styleId="Ruggedised2">
    <w:name w:val="Ruggedised 2"/>
    <w:basedOn w:val="Normal"/>
    <w:link w:val="Ruggedised2Char"/>
    <w:rsid w:val="00A67B1E"/>
    <w:pPr>
      <w:widowControl w:val="0"/>
      <w:autoSpaceDE w:val="0"/>
      <w:autoSpaceDN w:val="0"/>
      <w:adjustRightInd w:val="0"/>
      <w:spacing w:line="288" w:lineRule="auto"/>
      <w:textAlignment w:val="center"/>
    </w:pPr>
    <w:rPr>
      <w:rFonts w:ascii="Arial" w:hAnsi="Arial" w:cs="Arial-BoldMT"/>
      <w:bCs/>
      <w:color w:val="2EAEDA"/>
    </w:rPr>
  </w:style>
  <w:style w:type="character" w:customStyle="1" w:styleId="Ruggedised2Char">
    <w:name w:val="Ruggedised 2 Char"/>
    <w:basedOn w:val="DefaultParagraphFont"/>
    <w:link w:val="Ruggedised2"/>
    <w:rsid w:val="00A67B1E"/>
    <w:rPr>
      <w:rFonts w:ascii="Arial" w:hAnsi="Arial" w:cs="Arial-BoldMT"/>
      <w:bCs/>
      <w:color w:val="2EAEDA"/>
      <w:sz w:val="22"/>
      <w:lang w:val="en-US"/>
    </w:rPr>
  </w:style>
  <w:style w:type="paragraph" w:customStyle="1" w:styleId="Style1">
    <w:name w:val="Style1"/>
    <w:basedOn w:val="TOC3"/>
    <w:link w:val="Style1Char"/>
    <w:rsid w:val="00A67B1E"/>
    <w:pPr>
      <w:tabs>
        <w:tab w:val="left" w:pos="567"/>
        <w:tab w:val="left" w:pos="709"/>
        <w:tab w:val="left" w:pos="851"/>
        <w:tab w:val="left" w:pos="1000"/>
        <w:tab w:val="right" w:leader="dot" w:pos="7938"/>
      </w:tabs>
      <w:spacing w:after="0"/>
      <w:ind w:left="0"/>
    </w:pPr>
    <w:rPr>
      <w:rFonts w:ascii="Arial" w:hAnsi="Arial" w:cs="MinionPro-Bold"/>
      <w:b/>
      <w:bCs/>
      <w:noProof/>
      <w:color w:val="5AB7B4"/>
      <w:sz w:val="32"/>
      <w:szCs w:val="28"/>
    </w:rPr>
  </w:style>
  <w:style w:type="paragraph" w:styleId="TOC3">
    <w:name w:val="toc 3"/>
    <w:basedOn w:val="Normal"/>
    <w:next w:val="Normal"/>
    <w:autoRedefine/>
    <w:uiPriority w:val="39"/>
    <w:semiHidden/>
    <w:unhideWhenUsed/>
    <w:rsid w:val="00A67B1E"/>
    <w:pPr>
      <w:spacing w:after="100"/>
      <w:ind w:left="400"/>
    </w:pPr>
  </w:style>
  <w:style w:type="character" w:customStyle="1" w:styleId="Style1Char">
    <w:name w:val="Style1 Char"/>
    <w:basedOn w:val="DefaultParagraphFont"/>
    <w:link w:val="Style1"/>
    <w:rsid w:val="00A67B1E"/>
    <w:rPr>
      <w:rFonts w:ascii="Arial" w:hAnsi="Arial" w:cs="MinionPro-Bold"/>
      <w:b/>
      <w:bCs/>
      <w:noProof/>
      <w:color w:val="5AB7B4"/>
      <w:sz w:val="32"/>
      <w:szCs w:val="28"/>
      <w:lang w:val="en-US"/>
    </w:rPr>
  </w:style>
  <w:style w:type="paragraph" w:customStyle="1" w:styleId="Style2">
    <w:name w:val="Style2"/>
    <w:basedOn w:val="Ruggedised2"/>
    <w:link w:val="Style2Char"/>
    <w:rsid w:val="00A67B1E"/>
    <w:rPr>
      <w:rFonts w:cs="Times New Roman"/>
      <w:b/>
      <w:noProof/>
      <w:color w:val="5AB7B4"/>
      <w:lang w:val="it-IT"/>
    </w:rPr>
  </w:style>
  <w:style w:type="character" w:customStyle="1" w:styleId="Style2Char">
    <w:name w:val="Style2 Char"/>
    <w:basedOn w:val="Ruggedised2Char"/>
    <w:link w:val="Style2"/>
    <w:rsid w:val="00A67B1E"/>
    <w:rPr>
      <w:rFonts w:ascii="Arial" w:hAnsi="Arial" w:cs="Arial-BoldMT"/>
      <w:b/>
      <w:bCs/>
      <w:noProof/>
      <w:color w:val="5AB7B4"/>
      <w:sz w:val="22"/>
      <w:lang w:val="it-IT"/>
    </w:rPr>
  </w:style>
  <w:style w:type="paragraph" w:customStyle="1" w:styleId="StandardtextRuggedised">
    <w:name w:val="Standard text Ruggedised"/>
    <w:basedOn w:val="Normal"/>
    <w:link w:val="StandardtextRuggedisedChar"/>
    <w:autoRedefine/>
    <w:rsid w:val="00A67B1E"/>
    <w:pPr>
      <w:jc w:val="both"/>
    </w:pPr>
    <w:rPr>
      <w:lang w:val="sv-SE"/>
    </w:rPr>
  </w:style>
  <w:style w:type="character" w:customStyle="1" w:styleId="StandardtextRuggedisedChar">
    <w:name w:val="Standard text Ruggedised Char"/>
    <w:basedOn w:val="DefaultParagraphFont"/>
    <w:link w:val="StandardtextRuggedised"/>
    <w:rsid w:val="00A67B1E"/>
    <w:rPr>
      <w:rFonts w:asciiTheme="minorHAnsi" w:hAnsiTheme="minorHAnsi" w:cstheme="minorBidi"/>
      <w:sz w:val="22"/>
      <w:lang w:val="sv-SE"/>
    </w:rPr>
  </w:style>
  <w:style w:type="paragraph" w:customStyle="1" w:styleId="BasicText">
    <w:name w:val="Basic_Text"/>
    <w:basedOn w:val="C-Standardtext"/>
    <w:next w:val="C-Standardtext"/>
    <w:autoRedefine/>
    <w:rsid w:val="00ED47C4"/>
    <w:pPr>
      <w:jc w:val="both"/>
    </w:pPr>
    <w:rPr>
      <w:rFonts w:eastAsia="MS Mincho"/>
      <w:color w:val="6F6F6F"/>
    </w:rPr>
  </w:style>
  <w:style w:type="character" w:customStyle="1" w:styleId="Heading3Char">
    <w:name w:val="Heading 3 Char"/>
    <w:basedOn w:val="DefaultParagraphFont"/>
    <w:link w:val="Heading3"/>
    <w:uiPriority w:val="9"/>
    <w:rsid w:val="00D17BEC"/>
    <w:rPr>
      <w:rFonts w:asciiTheme="majorHAnsi" w:eastAsiaTheme="majorEastAsia" w:hAnsiTheme="majorHAnsi" w:cstheme="majorBidi"/>
      <w:b/>
      <w:bCs/>
    </w:rPr>
  </w:style>
  <w:style w:type="character" w:customStyle="1" w:styleId="Heading5Char">
    <w:name w:val="Heading 5 Char"/>
    <w:basedOn w:val="DefaultParagraphFont"/>
    <w:link w:val="Heading5"/>
    <w:uiPriority w:val="9"/>
    <w:semiHidden/>
    <w:rsid w:val="00D17BEC"/>
    <w:rPr>
      <w:rFonts w:asciiTheme="majorHAnsi" w:eastAsiaTheme="majorEastAsia" w:hAnsiTheme="majorHAnsi" w:cstheme="majorBidi"/>
      <w:b/>
      <w:bCs/>
      <w:color w:val="A3A3A2" w:themeColor="text1" w:themeTint="80"/>
    </w:rPr>
  </w:style>
  <w:style w:type="character" w:customStyle="1" w:styleId="Heading6Char">
    <w:name w:val="Heading 6 Char"/>
    <w:basedOn w:val="DefaultParagraphFont"/>
    <w:link w:val="Heading6"/>
    <w:uiPriority w:val="9"/>
    <w:semiHidden/>
    <w:rsid w:val="00D17BEC"/>
    <w:rPr>
      <w:rFonts w:asciiTheme="majorHAnsi" w:eastAsiaTheme="majorEastAsia" w:hAnsiTheme="majorHAnsi" w:cstheme="majorBidi"/>
      <w:b/>
      <w:bCs/>
      <w:i/>
      <w:iCs/>
      <w:color w:val="A3A3A2" w:themeColor="text1" w:themeTint="80"/>
    </w:rPr>
  </w:style>
  <w:style w:type="character" w:customStyle="1" w:styleId="Heading7Char">
    <w:name w:val="Heading 7 Char"/>
    <w:basedOn w:val="DefaultParagraphFont"/>
    <w:link w:val="Heading7"/>
    <w:uiPriority w:val="9"/>
    <w:semiHidden/>
    <w:rsid w:val="00D17BEC"/>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D17BEC"/>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D17BEC"/>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024404"/>
    <w:pPr>
      <w:spacing w:line="240" w:lineRule="auto"/>
      <w:contextualSpacing/>
    </w:pPr>
    <w:rPr>
      <w:rFonts w:asciiTheme="majorHAnsi" w:eastAsiaTheme="majorEastAsia" w:hAnsiTheme="majorHAnsi" w:cstheme="majorBidi"/>
      <w:color w:val="008A88"/>
      <w:spacing w:val="5"/>
      <w:sz w:val="52"/>
      <w:szCs w:val="52"/>
    </w:rPr>
  </w:style>
  <w:style w:type="character" w:customStyle="1" w:styleId="TitleChar">
    <w:name w:val="Title Char"/>
    <w:basedOn w:val="DefaultParagraphFont"/>
    <w:link w:val="Title"/>
    <w:uiPriority w:val="10"/>
    <w:rsid w:val="00024404"/>
    <w:rPr>
      <w:rFonts w:asciiTheme="majorHAnsi" w:eastAsiaTheme="majorEastAsia" w:hAnsiTheme="majorHAnsi" w:cstheme="majorBidi"/>
      <w:color w:val="008A88"/>
      <w:spacing w:val="5"/>
      <w:sz w:val="52"/>
      <w:szCs w:val="52"/>
    </w:rPr>
  </w:style>
  <w:style w:type="paragraph" w:styleId="Subtitle">
    <w:name w:val="Subtitle"/>
    <w:basedOn w:val="Normal"/>
    <w:next w:val="Normal"/>
    <w:link w:val="SubtitleChar"/>
    <w:uiPriority w:val="11"/>
    <w:qFormat/>
    <w:rsid w:val="00D17BEC"/>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D17BEC"/>
    <w:rPr>
      <w:rFonts w:asciiTheme="majorHAnsi" w:eastAsiaTheme="majorEastAsia" w:hAnsiTheme="majorHAnsi" w:cstheme="majorBidi"/>
      <w:i/>
      <w:iCs/>
      <w:spacing w:val="13"/>
      <w:sz w:val="24"/>
      <w:szCs w:val="24"/>
    </w:rPr>
  </w:style>
  <w:style w:type="character" w:styleId="Strong">
    <w:name w:val="Strong"/>
    <w:uiPriority w:val="22"/>
    <w:qFormat/>
    <w:rsid w:val="00D17BEC"/>
    <w:rPr>
      <w:b/>
      <w:bCs/>
    </w:rPr>
  </w:style>
  <w:style w:type="character" w:styleId="Emphasis">
    <w:name w:val="Emphasis"/>
    <w:uiPriority w:val="20"/>
    <w:qFormat/>
    <w:rsid w:val="00D17BEC"/>
    <w:rPr>
      <w:b/>
      <w:bCs/>
      <w:i/>
      <w:iCs/>
      <w:spacing w:val="10"/>
      <w:bdr w:val="none" w:sz="0" w:space="0" w:color="auto"/>
      <w:shd w:val="clear" w:color="auto" w:fill="auto"/>
    </w:rPr>
  </w:style>
  <w:style w:type="paragraph" w:styleId="ListParagraph">
    <w:name w:val="List Paragraph"/>
    <w:basedOn w:val="Normal"/>
    <w:uiPriority w:val="34"/>
    <w:qFormat/>
    <w:rsid w:val="00B140F3"/>
    <w:pPr>
      <w:numPr>
        <w:numId w:val="14"/>
      </w:numPr>
      <w:contextualSpacing/>
    </w:pPr>
  </w:style>
  <w:style w:type="paragraph" w:styleId="Quote">
    <w:name w:val="Quote"/>
    <w:basedOn w:val="Normal"/>
    <w:next w:val="Normal"/>
    <w:link w:val="QuoteChar"/>
    <w:uiPriority w:val="29"/>
    <w:qFormat/>
    <w:rsid w:val="00D17BEC"/>
    <w:pPr>
      <w:spacing w:before="200" w:after="0"/>
      <w:ind w:left="360" w:right="360"/>
    </w:pPr>
    <w:rPr>
      <w:i/>
      <w:iCs/>
    </w:rPr>
  </w:style>
  <w:style w:type="character" w:customStyle="1" w:styleId="QuoteChar">
    <w:name w:val="Quote Char"/>
    <w:basedOn w:val="DefaultParagraphFont"/>
    <w:link w:val="Quote"/>
    <w:uiPriority w:val="29"/>
    <w:rsid w:val="00D17BEC"/>
    <w:rPr>
      <w:i/>
      <w:iCs/>
    </w:rPr>
  </w:style>
  <w:style w:type="paragraph" w:styleId="IntenseQuote">
    <w:name w:val="Intense Quote"/>
    <w:basedOn w:val="Normal"/>
    <w:next w:val="Normal"/>
    <w:link w:val="IntenseQuoteChar"/>
    <w:uiPriority w:val="30"/>
    <w:qFormat/>
    <w:rsid w:val="00D17BEC"/>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D17BEC"/>
    <w:rPr>
      <w:b/>
      <w:bCs/>
      <w:i/>
      <w:iCs/>
    </w:rPr>
  </w:style>
  <w:style w:type="character" w:styleId="SubtleEmphasis">
    <w:name w:val="Subtle Emphasis"/>
    <w:uiPriority w:val="19"/>
    <w:qFormat/>
    <w:rsid w:val="00D17BEC"/>
    <w:rPr>
      <w:i/>
      <w:iCs/>
    </w:rPr>
  </w:style>
  <w:style w:type="character" w:styleId="IntenseEmphasis">
    <w:name w:val="Intense Emphasis"/>
    <w:uiPriority w:val="21"/>
    <w:qFormat/>
    <w:rsid w:val="00D17BEC"/>
    <w:rPr>
      <w:b/>
      <w:bCs/>
    </w:rPr>
  </w:style>
  <w:style w:type="character" w:styleId="SubtleReference">
    <w:name w:val="Subtle Reference"/>
    <w:uiPriority w:val="31"/>
    <w:qFormat/>
    <w:rsid w:val="00D17BEC"/>
    <w:rPr>
      <w:smallCaps/>
    </w:rPr>
  </w:style>
  <w:style w:type="character" w:styleId="IntenseReference">
    <w:name w:val="Intense Reference"/>
    <w:uiPriority w:val="32"/>
    <w:qFormat/>
    <w:rsid w:val="00D17BEC"/>
    <w:rPr>
      <w:smallCaps/>
      <w:spacing w:val="5"/>
      <w:u w:val="single"/>
    </w:rPr>
  </w:style>
  <w:style w:type="character" w:styleId="BookTitle">
    <w:name w:val="Book Title"/>
    <w:uiPriority w:val="33"/>
    <w:qFormat/>
    <w:rsid w:val="00D17BEC"/>
    <w:rPr>
      <w:i/>
      <w:iCs/>
      <w:smallCaps/>
      <w:spacing w:val="5"/>
    </w:rPr>
  </w:style>
  <w:style w:type="paragraph" w:styleId="TOCHeading">
    <w:name w:val="TOC Heading"/>
    <w:basedOn w:val="Heading1"/>
    <w:next w:val="Normal"/>
    <w:uiPriority w:val="39"/>
    <w:semiHidden/>
    <w:unhideWhenUsed/>
    <w:qFormat/>
    <w:rsid w:val="00D17BEC"/>
    <w:pPr>
      <w:outlineLvl w:val="9"/>
    </w:pPr>
  </w:style>
  <w:style w:type="paragraph" w:styleId="BalloonText">
    <w:name w:val="Balloon Text"/>
    <w:basedOn w:val="Normal"/>
    <w:link w:val="BalloonTextChar"/>
    <w:uiPriority w:val="99"/>
    <w:semiHidden/>
    <w:unhideWhenUsed/>
    <w:rsid w:val="00D17B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7BEC"/>
    <w:rPr>
      <w:rFonts w:ascii="Tahoma" w:hAnsi="Tahoma" w:cs="Tahoma"/>
      <w:sz w:val="16"/>
      <w:szCs w:val="16"/>
      <w:lang w:val="en-IE"/>
    </w:rPr>
  </w:style>
  <w:style w:type="paragraph" w:styleId="Header">
    <w:name w:val="header"/>
    <w:basedOn w:val="Normal"/>
    <w:link w:val="HeaderChar"/>
    <w:uiPriority w:val="99"/>
    <w:unhideWhenUsed/>
    <w:rsid w:val="002C1264"/>
    <w:pPr>
      <w:tabs>
        <w:tab w:val="center" w:pos="4536"/>
        <w:tab w:val="right" w:pos="9072"/>
      </w:tabs>
      <w:spacing w:after="0" w:line="240" w:lineRule="auto"/>
    </w:pPr>
  </w:style>
  <w:style w:type="character" w:customStyle="1" w:styleId="HeaderChar">
    <w:name w:val="Header Char"/>
    <w:basedOn w:val="DefaultParagraphFont"/>
    <w:link w:val="Header"/>
    <w:uiPriority w:val="99"/>
    <w:rsid w:val="002C1264"/>
  </w:style>
  <w:style w:type="paragraph" w:styleId="Footer">
    <w:name w:val="footer"/>
    <w:basedOn w:val="Normal"/>
    <w:link w:val="FooterChar"/>
    <w:uiPriority w:val="99"/>
    <w:unhideWhenUsed/>
    <w:rsid w:val="002C1264"/>
    <w:pPr>
      <w:tabs>
        <w:tab w:val="center" w:pos="4536"/>
        <w:tab w:val="right" w:pos="9072"/>
      </w:tabs>
      <w:spacing w:after="0" w:line="240" w:lineRule="auto"/>
    </w:pPr>
  </w:style>
  <w:style w:type="character" w:customStyle="1" w:styleId="FooterChar">
    <w:name w:val="Footer Char"/>
    <w:basedOn w:val="DefaultParagraphFont"/>
    <w:link w:val="Footer"/>
    <w:uiPriority w:val="99"/>
    <w:rsid w:val="002C1264"/>
  </w:style>
  <w:style w:type="table" w:styleId="TableGrid">
    <w:name w:val="Table Grid"/>
    <w:basedOn w:val="TableNormal"/>
    <w:uiPriority w:val="39"/>
    <w:rsid w:val="00AB6F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5">
    <w:name w:val="Light List Accent 5"/>
    <w:basedOn w:val="TableNormal"/>
    <w:uiPriority w:val="61"/>
    <w:rsid w:val="00DD3CF2"/>
    <w:pPr>
      <w:spacing w:after="0" w:line="240" w:lineRule="auto"/>
    </w:pPr>
    <w:tblPr>
      <w:tblStyleRowBandSize w:val="1"/>
      <w:tblStyleColBandSize w:val="1"/>
      <w:tblBorders>
        <w:top w:val="single" w:sz="8" w:space="0" w:color="31859B" w:themeColor="accent5"/>
        <w:left w:val="single" w:sz="8" w:space="0" w:color="31859B" w:themeColor="accent5"/>
        <w:bottom w:val="single" w:sz="8" w:space="0" w:color="31859B" w:themeColor="accent5"/>
        <w:right w:val="single" w:sz="8" w:space="0" w:color="31859B" w:themeColor="accent5"/>
      </w:tblBorders>
    </w:tblPr>
    <w:tblStylePr w:type="firstRow">
      <w:pPr>
        <w:spacing w:before="0" w:after="0" w:line="240" w:lineRule="auto"/>
      </w:pPr>
      <w:rPr>
        <w:b/>
        <w:bCs/>
        <w:color w:val="FFFFFF" w:themeColor="background1"/>
      </w:rPr>
      <w:tblPr/>
      <w:tcPr>
        <w:shd w:val="clear" w:color="auto" w:fill="31859B" w:themeFill="accent5"/>
      </w:tcPr>
    </w:tblStylePr>
    <w:tblStylePr w:type="lastRow">
      <w:pPr>
        <w:spacing w:before="0" w:after="0" w:line="240" w:lineRule="auto"/>
      </w:pPr>
      <w:rPr>
        <w:b/>
        <w:bCs/>
      </w:rPr>
      <w:tblPr/>
      <w:tcPr>
        <w:tcBorders>
          <w:top w:val="double" w:sz="6" w:space="0" w:color="31859B" w:themeColor="accent5"/>
          <w:left w:val="single" w:sz="8" w:space="0" w:color="31859B" w:themeColor="accent5"/>
          <w:bottom w:val="single" w:sz="8" w:space="0" w:color="31859B" w:themeColor="accent5"/>
          <w:right w:val="single" w:sz="8" w:space="0" w:color="31859B" w:themeColor="accent5"/>
        </w:tcBorders>
      </w:tcPr>
    </w:tblStylePr>
    <w:tblStylePr w:type="firstCol">
      <w:rPr>
        <w:b/>
        <w:bCs/>
      </w:rPr>
    </w:tblStylePr>
    <w:tblStylePr w:type="lastCol">
      <w:rPr>
        <w:b/>
        <w:bCs/>
      </w:rPr>
    </w:tblStylePr>
    <w:tblStylePr w:type="band1Vert">
      <w:tblPr/>
      <w:tcPr>
        <w:tcBorders>
          <w:top w:val="single" w:sz="8" w:space="0" w:color="31859B" w:themeColor="accent5"/>
          <w:left w:val="single" w:sz="8" w:space="0" w:color="31859B" w:themeColor="accent5"/>
          <w:bottom w:val="single" w:sz="8" w:space="0" w:color="31859B" w:themeColor="accent5"/>
          <w:right w:val="single" w:sz="8" w:space="0" w:color="31859B" w:themeColor="accent5"/>
        </w:tcBorders>
      </w:tcPr>
    </w:tblStylePr>
    <w:tblStylePr w:type="band1Horz">
      <w:tblPr/>
      <w:tcPr>
        <w:tcBorders>
          <w:top w:val="single" w:sz="8" w:space="0" w:color="31859B" w:themeColor="accent5"/>
          <w:left w:val="single" w:sz="8" w:space="0" w:color="31859B" w:themeColor="accent5"/>
          <w:bottom w:val="single" w:sz="8" w:space="0" w:color="31859B" w:themeColor="accent5"/>
          <w:right w:val="single" w:sz="8" w:space="0" w:color="31859B" w:themeColor="accent5"/>
        </w:tcBorders>
      </w:tcPr>
    </w:tblStylePr>
  </w:style>
  <w:style w:type="paragraph" w:styleId="FootnoteText">
    <w:name w:val="footnote text"/>
    <w:basedOn w:val="Normal"/>
    <w:link w:val="FootnoteTextChar"/>
    <w:uiPriority w:val="99"/>
    <w:unhideWhenUsed/>
    <w:rsid w:val="006E51E6"/>
    <w:pPr>
      <w:autoSpaceDE w:val="0"/>
      <w:autoSpaceDN w:val="0"/>
      <w:adjustRightInd w:val="0"/>
      <w:spacing w:after="0" w:line="240" w:lineRule="auto"/>
    </w:pPr>
    <w:rPr>
      <w:rFonts w:ascii="Times New Roman" w:eastAsiaTheme="minorHAnsi" w:hAnsi="Times New Roman" w:cs="Times New Roman"/>
      <w:iCs/>
      <w:color w:val="000000"/>
      <w:sz w:val="20"/>
      <w:szCs w:val="20"/>
      <w:lang w:eastAsia="en-US"/>
    </w:rPr>
  </w:style>
  <w:style w:type="character" w:customStyle="1" w:styleId="FootnoteTextChar">
    <w:name w:val="Footnote Text Char"/>
    <w:basedOn w:val="DefaultParagraphFont"/>
    <w:link w:val="FootnoteText"/>
    <w:uiPriority w:val="99"/>
    <w:rsid w:val="006E51E6"/>
    <w:rPr>
      <w:rFonts w:ascii="Times New Roman" w:eastAsiaTheme="minorHAnsi" w:hAnsi="Times New Roman" w:cs="Times New Roman"/>
      <w:iCs/>
      <w:color w:val="000000"/>
      <w:sz w:val="20"/>
      <w:szCs w:val="20"/>
      <w:lang w:eastAsia="en-US"/>
    </w:rPr>
  </w:style>
  <w:style w:type="character" w:styleId="FootnoteReference">
    <w:name w:val="footnote reference"/>
    <w:basedOn w:val="DefaultParagraphFont"/>
    <w:uiPriority w:val="99"/>
    <w:semiHidden/>
    <w:unhideWhenUsed/>
    <w:rsid w:val="006E51E6"/>
    <w:rPr>
      <w:vertAlign w:val="superscript"/>
    </w:rPr>
  </w:style>
  <w:style w:type="character" w:styleId="Hyperlink">
    <w:name w:val="Hyperlink"/>
    <w:basedOn w:val="DefaultParagraphFont"/>
    <w:uiPriority w:val="99"/>
    <w:unhideWhenUsed/>
    <w:rsid w:val="00E43202"/>
    <w:rPr>
      <w:color w:val="366092" w:themeColor="hyperlink"/>
      <w:u w:val="single"/>
    </w:rPr>
  </w:style>
  <w:style w:type="character" w:styleId="CommentReference">
    <w:name w:val="annotation reference"/>
    <w:basedOn w:val="DefaultParagraphFont"/>
    <w:uiPriority w:val="99"/>
    <w:semiHidden/>
    <w:unhideWhenUsed/>
    <w:rsid w:val="00501FEA"/>
    <w:rPr>
      <w:sz w:val="16"/>
      <w:szCs w:val="16"/>
    </w:rPr>
  </w:style>
  <w:style w:type="paragraph" w:styleId="CommentText">
    <w:name w:val="annotation text"/>
    <w:basedOn w:val="Normal"/>
    <w:link w:val="CommentTextChar"/>
    <w:uiPriority w:val="99"/>
    <w:semiHidden/>
    <w:unhideWhenUsed/>
    <w:rsid w:val="00501FEA"/>
    <w:pPr>
      <w:spacing w:line="240" w:lineRule="auto"/>
    </w:pPr>
    <w:rPr>
      <w:sz w:val="20"/>
      <w:szCs w:val="20"/>
    </w:rPr>
  </w:style>
  <w:style w:type="character" w:customStyle="1" w:styleId="CommentTextChar">
    <w:name w:val="Comment Text Char"/>
    <w:basedOn w:val="DefaultParagraphFont"/>
    <w:link w:val="CommentText"/>
    <w:uiPriority w:val="99"/>
    <w:semiHidden/>
    <w:rsid w:val="00501FEA"/>
    <w:rPr>
      <w:sz w:val="20"/>
      <w:szCs w:val="20"/>
    </w:rPr>
  </w:style>
  <w:style w:type="paragraph" w:styleId="CommentSubject">
    <w:name w:val="annotation subject"/>
    <w:basedOn w:val="CommentText"/>
    <w:next w:val="CommentText"/>
    <w:link w:val="CommentSubjectChar"/>
    <w:uiPriority w:val="99"/>
    <w:semiHidden/>
    <w:unhideWhenUsed/>
    <w:rsid w:val="00501FEA"/>
    <w:rPr>
      <w:b/>
      <w:bCs/>
    </w:rPr>
  </w:style>
  <w:style w:type="character" w:customStyle="1" w:styleId="CommentSubjectChar">
    <w:name w:val="Comment Subject Char"/>
    <w:basedOn w:val="CommentTextChar"/>
    <w:link w:val="CommentSubject"/>
    <w:uiPriority w:val="99"/>
    <w:semiHidden/>
    <w:rsid w:val="00501FE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7476440">
      <w:bodyDiv w:val="1"/>
      <w:marLeft w:val="0"/>
      <w:marRight w:val="0"/>
      <w:marTop w:val="0"/>
      <w:marBottom w:val="0"/>
      <w:divBdr>
        <w:top w:val="none" w:sz="0" w:space="0" w:color="auto"/>
        <w:left w:val="none" w:sz="0" w:space="0" w:color="auto"/>
        <w:bottom w:val="none" w:sz="0" w:space="0" w:color="auto"/>
        <w:right w:val="none" w:sz="0" w:space="0" w:color="auto"/>
      </w:divBdr>
    </w:div>
    <w:div w:id="1710062254">
      <w:bodyDiv w:val="1"/>
      <w:marLeft w:val="0"/>
      <w:marRight w:val="0"/>
      <w:marTop w:val="0"/>
      <w:marBottom w:val="0"/>
      <w:divBdr>
        <w:top w:val="none" w:sz="0" w:space="0" w:color="auto"/>
        <w:left w:val="none" w:sz="0" w:space="0" w:color="auto"/>
        <w:bottom w:val="none" w:sz="0" w:space="0" w:color="auto"/>
        <w:right w:val="none" w:sz="0" w:space="0" w:color="auto"/>
      </w:divBdr>
    </w:div>
    <w:div w:id="205207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procurement-forum.eu/resource/download/21/Scottish+parliament+early+market+engagement+2009.pdf"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ppregions.eu/resources/publications/" TargetMode="External"/><Relationship Id="rId7" Type="http://schemas.openxmlformats.org/officeDocument/2006/relationships/endnotes" Target="endnotes.xml"/><Relationship Id="rId12" Type="http://schemas.openxmlformats.org/officeDocument/2006/relationships/hyperlink" Target="http://www.sustainable-procurement.org/fileadmin/templates/sp_platform/lib/sp_platform_resources/tools/push_resource_file.php?uid=6d557c44" TargetMode="External"/><Relationship Id="rId17" Type="http://schemas.openxmlformats.org/officeDocument/2006/relationships/hyperlink" Target="https://di.dk/SiteCollectionDocuments/Milj%C3%B8/Nyheder/Asker%20-%20Nyheder/Markedsdialog.pdf" TargetMode="External"/><Relationship Id="rId2" Type="http://schemas.openxmlformats.org/officeDocument/2006/relationships/numbering" Target="numbering.xml"/><Relationship Id="rId16" Type="http://schemas.openxmlformats.org/officeDocument/2006/relationships/hyperlink" Target="http://ec.europa.eu/environment/gpp/pdf/news_alert/Issue42_Case_Study88_Norway_Ferry.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ustainable-procurement.org/fileadmin/templates/sp_platform/lib/sp_platform_resources/tools/push_resource_file.php?uid=131f7a5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happi-project.eu/" TargetMode="External"/><Relationship Id="rId23" Type="http://schemas.openxmlformats.org/officeDocument/2006/relationships/fontTable" Target="fontTable.xml"/><Relationship Id="rId10" Type="http://schemas.openxmlformats.org/officeDocument/2006/relationships/hyperlink" Target="http://ec.europa.eu/environment/gpp/index_en.ht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sustainable-procurement.org/fileadmin/templates/sp_platform/lib/sp_platform_resources/tools/push_resource_file.php?uid=f7c8d0e0" TargetMode="External"/><Relationship Id="rId22"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heme Iclei">
  <a:themeElements>
    <a:clrScheme name="GPP Training colours">
      <a:dk1>
        <a:srgbClr val="484847"/>
      </a:dk1>
      <a:lt1>
        <a:sysClr val="window" lastClr="FFFFFF"/>
      </a:lt1>
      <a:dk2>
        <a:srgbClr val="008A88"/>
      </a:dk2>
      <a:lt2>
        <a:srgbClr val="EEECE1"/>
      </a:lt2>
      <a:accent1>
        <a:srgbClr val="1C665A"/>
      </a:accent1>
      <a:accent2>
        <a:srgbClr val="9BB51B"/>
      </a:accent2>
      <a:accent3>
        <a:srgbClr val="BBD828"/>
      </a:accent3>
      <a:accent4>
        <a:srgbClr val="D8E6B0"/>
      </a:accent4>
      <a:accent5>
        <a:srgbClr val="31859B"/>
      </a:accent5>
      <a:accent6>
        <a:srgbClr val="AFC63A"/>
      </a:accent6>
      <a:hlink>
        <a:srgbClr val="366092"/>
      </a:hlink>
      <a:folHlink>
        <a:srgbClr val="E36C09"/>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79BC0D-3016-4899-A2C6-2640B1D6D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2052</Words>
  <Characters>11699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Iclei</Company>
  <LinksUpToDate>false</LinksUpToDate>
  <CharactersWithSpaces>13724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1</cp:revision>
  <dcterms:created xsi:type="dcterms:W3CDTF">2020-05-08T17:11:00Z</dcterms:created>
  <dcterms:modified xsi:type="dcterms:W3CDTF">2020-05-08T17:15:00Z</dcterms:modified>
</cp:coreProperties>
</file>